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382EDF" w:rsidRDefault="00382EDF" w14:paraId="123E3E43" w14:textId="77777777">
      <w:pPr>
        <w:widowControl w:val="0"/>
        <w:pBdr>
          <w:top w:val="nil"/>
          <w:left w:val="nil"/>
          <w:bottom w:val="nil"/>
          <w:right w:val="nil"/>
          <w:between w:val="nil"/>
        </w:pBdr>
        <w:spacing w:after="0" w:line="276" w:lineRule="auto"/>
        <w:rPr>
          <w:color w:val="000000"/>
          <w:sz w:val="22"/>
          <w:szCs w:val="22"/>
        </w:rPr>
      </w:pPr>
    </w:p>
    <w:tbl>
      <w:tblPr>
        <w:tblStyle w:val="aff"/>
        <w:tblW w:w="6663" w:type="dxa"/>
        <w:tblBorders>
          <w:top w:val="nil"/>
          <w:left w:val="nil"/>
          <w:bottom w:val="nil"/>
          <w:right w:val="nil"/>
          <w:insideH w:val="nil"/>
          <w:insideV w:val="nil"/>
        </w:tblBorders>
        <w:tblLayout w:type="fixed"/>
        <w:tblLook w:val="0400" w:firstRow="0" w:lastRow="0" w:firstColumn="0" w:lastColumn="0" w:noHBand="0" w:noVBand="1"/>
      </w:tblPr>
      <w:tblGrid>
        <w:gridCol w:w="1565"/>
        <w:gridCol w:w="3680"/>
        <w:gridCol w:w="1391"/>
        <w:gridCol w:w="27"/>
      </w:tblGrid>
      <w:tr w:rsidR="00382EDF" w14:paraId="123E3E45" w14:textId="77777777">
        <w:trPr>
          <w:gridAfter w:val="1"/>
          <w:wAfter w:w="27" w:type="dxa"/>
          <w:trHeight w:val="1139"/>
        </w:trPr>
        <w:tc>
          <w:tcPr>
            <w:tcW w:w="6636" w:type="dxa"/>
            <w:gridSpan w:val="3"/>
            <w:tcMar>
              <w:left w:w="0" w:type="dxa"/>
              <w:right w:w="0" w:type="dxa"/>
            </w:tcMar>
          </w:tcPr>
          <w:p w:rsidR="00382EDF" w:rsidRDefault="00382EDF" w14:paraId="123E3E44" w14:textId="77777777">
            <w:pPr>
              <w:pBdr>
                <w:top w:val="nil"/>
                <w:left w:val="nil"/>
                <w:bottom w:val="nil"/>
                <w:right w:val="nil"/>
                <w:between w:val="nil"/>
              </w:pBdr>
              <w:spacing w:before="1800" w:after="120"/>
              <w:rPr>
                <w:b/>
                <w:bCs/>
                <w:color w:val="FFFFFF"/>
              </w:rPr>
            </w:pPr>
            <w:bookmarkStart w:name="_heading=h.ak329srigsgc" w:colFirst="0" w:colLast="0" w:id="0"/>
            <w:bookmarkEnd w:id="0"/>
          </w:p>
        </w:tc>
      </w:tr>
      <w:tr w:rsidR="00382EDF" w14:paraId="123E3E4B" w14:textId="77777777">
        <w:trPr>
          <w:gridAfter w:val="1"/>
          <w:wAfter w:w="27" w:type="dxa"/>
          <w:trHeight w:val="794"/>
        </w:trPr>
        <w:tc>
          <w:tcPr>
            <w:tcW w:w="6636" w:type="dxa"/>
            <w:gridSpan w:val="3"/>
            <w:tcMar>
              <w:left w:w="0" w:type="dxa"/>
              <w:right w:w="0" w:type="dxa"/>
            </w:tcMar>
          </w:tcPr>
          <w:p w:rsidR="00382EDF" w:rsidRDefault="005B5EF1" w14:paraId="123E3E46" w14:textId="77777777">
            <w:pPr>
              <w:pBdr>
                <w:top w:val="nil"/>
                <w:left w:val="nil"/>
                <w:bottom w:val="nil"/>
                <w:right w:val="nil"/>
                <w:between w:val="nil"/>
              </w:pBdr>
              <w:spacing w:after="120"/>
              <w:rPr>
                <w:color w:val="FFFFFF"/>
                <w:sz w:val="72"/>
                <w:szCs w:val="72"/>
              </w:rPr>
            </w:pPr>
            <w:r>
              <w:rPr>
                <w:color w:val="FFFFFF"/>
                <w:sz w:val="72"/>
                <w:szCs w:val="72"/>
              </w:rPr>
              <w:t>Multispecies Animal Welfare Monitoring</w:t>
            </w:r>
          </w:p>
          <w:p w:rsidR="00382EDF" w:rsidRDefault="005B5EF1" w14:paraId="123E3E47" w14:textId="77777777">
            <w:pPr>
              <w:pBdr>
                <w:top w:val="nil"/>
                <w:left w:val="nil"/>
                <w:bottom w:val="nil"/>
                <w:right w:val="nil"/>
                <w:between w:val="nil"/>
              </w:pBdr>
              <w:spacing w:after="120"/>
              <w:rPr>
                <w:color w:val="FFFFFF"/>
                <w:sz w:val="30"/>
                <w:szCs w:val="30"/>
              </w:rPr>
            </w:pPr>
            <w:r>
              <w:rPr>
                <w:color w:val="FFFFFF"/>
                <w:sz w:val="30"/>
                <w:szCs w:val="30"/>
              </w:rPr>
              <w:t>Animal welfare monitoring in multi-species abattoirs using AI and CCTV</w:t>
            </w:r>
          </w:p>
          <w:p w:rsidR="00382EDF" w:rsidRDefault="00382EDF" w14:paraId="123E3E48" w14:textId="77777777">
            <w:pPr>
              <w:pBdr>
                <w:top w:val="nil"/>
                <w:left w:val="nil"/>
                <w:bottom w:val="nil"/>
                <w:right w:val="nil"/>
                <w:between w:val="nil"/>
              </w:pBdr>
              <w:spacing w:after="120"/>
              <w:rPr>
                <w:color w:val="FFFFFF"/>
                <w:sz w:val="72"/>
                <w:szCs w:val="72"/>
              </w:rPr>
            </w:pPr>
          </w:p>
          <w:p w:rsidR="00382EDF" w:rsidRDefault="00382EDF" w14:paraId="123E3E49" w14:textId="77777777">
            <w:pPr>
              <w:pBdr>
                <w:top w:val="nil"/>
                <w:left w:val="nil"/>
                <w:bottom w:val="nil"/>
                <w:right w:val="nil"/>
                <w:between w:val="nil"/>
              </w:pBdr>
              <w:spacing w:after="120"/>
              <w:rPr>
                <w:color w:val="FFFFFF"/>
                <w:sz w:val="72"/>
                <w:szCs w:val="72"/>
              </w:rPr>
            </w:pPr>
          </w:p>
          <w:p w:rsidR="00382EDF" w:rsidRDefault="00382EDF" w14:paraId="123E3E4A" w14:textId="77777777">
            <w:pPr>
              <w:pBdr>
                <w:top w:val="nil"/>
                <w:left w:val="nil"/>
                <w:bottom w:val="nil"/>
                <w:right w:val="nil"/>
                <w:between w:val="nil"/>
              </w:pBdr>
              <w:spacing w:after="120"/>
              <w:rPr>
                <w:color w:val="FFFFFF"/>
              </w:rPr>
            </w:pPr>
          </w:p>
        </w:tc>
      </w:tr>
      <w:tr w:rsidR="00382EDF" w14:paraId="123E3E4D" w14:textId="77777777">
        <w:trPr>
          <w:gridAfter w:val="1"/>
          <w:wAfter w:w="27" w:type="dxa"/>
          <w:trHeight w:val="2599"/>
        </w:trPr>
        <w:tc>
          <w:tcPr>
            <w:tcW w:w="6636" w:type="dxa"/>
            <w:gridSpan w:val="3"/>
            <w:tcMar>
              <w:left w:w="0" w:type="dxa"/>
              <w:right w:w="0" w:type="dxa"/>
            </w:tcMar>
          </w:tcPr>
          <w:p w:rsidR="00382EDF" w:rsidRDefault="00382EDF" w14:paraId="123E3E4C" w14:textId="77777777">
            <w:pPr>
              <w:pBdr>
                <w:top w:val="nil"/>
                <w:left w:val="nil"/>
                <w:bottom w:val="nil"/>
                <w:right w:val="nil"/>
                <w:between w:val="nil"/>
              </w:pBdr>
              <w:spacing w:after="120"/>
              <w:rPr>
                <w:color w:val="66B5B8"/>
                <w:sz w:val="28"/>
                <w:szCs w:val="28"/>
              </w:rPr>
            </w:pPr>
          </w:p>
        </w:tc>
      </w:tr>
      <w:tr w:rsidR="00382EDF" w14:paraId="123E3E55" w14:textId="77777777">
        <w:trPr>
          <w:trHeight w:val="834"/>
        </w:trPr>
        <w:tc>
          <w:tcPr>
            <w:tcW w:w="1565" w:type="dxa"/>
            <w:tcMar>
              <w:left w:w="0" w:type="dxa"/>
              <w:right w:w="0" w:type="dxa"/>
            </w:tcMar>
          </w:tcPr>
          <w:p w:rsidR="00382EDF" w:rsidRDefault="005B5EF1" w14:paraId="123E3E4E" w14:textId="77777777">
            <w:pPr>
              <w:pBdr>
                <w:top w:val="nil"/>
                <w:left w:val="nil"/>
                <w:bottom w:val="nil"/>
                <w:right w:val="nil"/>
                <w:between w:val="nil"/>
              </w:pBdr>
              <w:spacing w:after="40"/>
              <w:rPr>
                <w:color w:val="73B9C1"/>
                <w:sz w:val="18"/>
                <w:szCs w:val="18"/>
              </w:rPr>
            </w:pPr>
            <w:r>
              <w:rPr>
                <w:color w:val="73B9C1"/>
                <w:sz w:val="18"/>
                <w:szCs w:val="18"/>
              </w:rPr>
              <w:t>Project code</w:t>
            </w:r>
          </w:p>
          <w:p w:rsidR="00382EDF" w:rsidRDefault="005B5EF1" w14:paraId="123E3E4F" w14:textId="77777777">
            <w:pPr>
              <w:spacing w:after="0"/>
            </w:pPr>
            <w:r>
              <w:rPr>
                <w:color w:val="FFFFFF"/>
              </w:rPr>
              <w:t>2025-1079</w:t>
            </w:r>
          </w:p>
        </w:tc>
        <w:tc>
          <w:tcPr>
            <w:tcW w:w="3680" w:type="dxa"/>
            <w:tcMar>
              <w:left w:w="0" w:type="dxa"/>
              <w:right w:w="0" w:type="dxa"/>
            </w:tcMar>
          </w:tcPr>
          <w:p w:rsidR="00382EDF" w:rsidRDefault="005B5EF1" w14:paraId="123E3E50" w14:textId="77777777">
            <w:pPr>
              <w:pBdr>
                <w:top w:val="nil"/>
                <w:left w:val="nil"/>
                <w:bottom w:val="nil"/>
                <w:right w:val="nil"/>
                <w:between w:val="nil"/>
              </w:pBdr>
              <w:spacing w:after="40"/>
              <w:rPr>
                <w:color w:val="73B9C1"/>
                <w:sz w:val="18"/>
                <w:szCs w:val="18"/>
              </w:rPr>
            </w:pPr>
            <w:r>
              <w:rPr>
                <w:color w:val="73B9C1"/>
                <w:sz w:val="18"/>
                <w:szCs w:val="18"/>
              </w:rPr>
              <w:t>Prepared by</w:t>
            </w:r>
          </w:p>
          <w:p w:rsidR="00382EDF" w:rsidRDefault="005B5EF1" w14:paraId="123E3E51" w14:textId="77777777">
            <w:pPr>
              <w:spacing w:after="0"/>
              <w:rPr>
                <w:color w:val="FFFFFF"/>
              </w:rPr>
            </w:pPr>
            <w:r>
              <w:rPr>
                <w:color w:val="FFFFFF"/>
              </w:rPr>
              <w:t xml:space="preserve">Impetus Animal Welfare Ltd </w:t>
            </w:r>
          </w:p>
          <w:p w:rsidR="00382EDF" w:rsidRDefault="00382EDF" w14:paraId="123E3E52" w14:textId="77777777">
            <w:pPr>
              <w:spacing w:after="0"/>
            </w:pPr>
          </w:p>
        </w:tc>
        <w:tc>
          <w:tcPr>
            <w:tcW w:w="1418" w:type="dxa"/>
            <w:gridSpan w:val="2"/>
            <w:tcMar>
              <w:left w:w="57" w:type="dxa"/>
              <w:right w:w="0" w:type="dxa"/>
            </w:tcMar>
          </w:tcPr>
          <w:p w:rsidR="00382EDF" w:rsidRDefault="005B5EF1" w14:paraId="123E3E53" w14:textId="77777777">
            <w:pPr>
              <w:pBdr>
                <w:top w:val="nil"/>
                <w:left w:val="nil"/>
                <w:bottom w:val="nil"/>
                <w:right w:val="nil"/>
                <w:between w:val="nil"/>
              </w:pBdr>
              <w:spacing w:after="40"/>
              <w:rPr>
                <w:color w:val="73B9C1"/>
                <w:sz w:val="18"/>
                <w:szCs w:val="18"/>
              </w:rPr>
            </w:pPr>
            <w:r>
              <w:rPr>
                <w:color w:val="73B9C1"/>
                <w:sz w:val="18"/>
                <w:szCs w:val="18"/>
              </w:rPr>
              <w:t>Date submitted</w:t>
            </w:r>
          </w:p>
          <w:p w:rsidR="00382EDF" w:rsidRDefault="005B5EF1" w14:paraId="123E3E54" w14:textId="77777777">
            <w:pPr>
              <w:spacing w:after="0"/>
            </w:pPr>
            <w:r>
              <w:rPr>
                <w:color w:val="FFFFFF"/>
              </w:rPr>
              <w:t>17/02/2026</w:t>
            </w:r>
          </w:p>
        </w:tc>
      </w:tr>
      <w:tr w:rsidR="00382EDF" w14:paraId="123E3E5B" w14:textId="77777777">
        <w:trPr>
          <w:trHeight w:val="834"/>
        </w:trPr>
        <w:tc>
          <w:tcPr>
            <w:tcW w:w="1565" w:type="dxa"/>
            <w:tcMar>
              <w:left w:w="0" w:type="dxa"/>
              <w:right w:w="0" w:type="dxa"/>
            </w:tcMar>
          </w:tcPr>
          <w:p w:rsidR="00382EDF" w:rsidRDefault="00382EDF" w14:paraId="123E3E56" w14:textId="77777777">
            <w:pPr>
              <w:spacing w:after="0"/>
            </w:pPr>
          </w:p>
        </w:tc>
        <w:tc>
          <w:tcPr>
            <w:tcW w:w="3680" w:type="dxa"/>
            <w:tcMar>
              <w:left w:w="0" w:type="dxa"/>
              <w:right w:w="0" w:type="dxa"/>
            </w:tcMar>
          </w:tcPr>
          <w:p w:rsidR="00382EDF" w:rsidRDefault="005B5EF1" w14:paraId="123E3E57" w14:textId="77777777">
            <w:pPr>
              <w:pBdr>
                <w:top w:val="nil"/>
                <w:left w:val="nil"/>
                <w:bottom w:val="nil"/>
                <w:right w:val="nil"/>
                <w:between w:val="nil"/>
              </w:pBdr>
              <w:spacing w:after="40"/>
              <w:rPr>
                <w:color w:val="73B9C1"/>
                <w:sz w:val="18"/>
                <w:szCs w:val="18"/>
              </w:rPr>
            </w:pPr>
            <w:r>
              <w:rPr>
                <w:color w:val="73B9C1"/>
                <w:sz w:val="18"/>
                <w:szCs w:val="18"/>
              </w:rPr>
              <w:t>Published by</w:t>
            </w:r>
          </w:p>
          <w:p w:rsidR="00382EDF" w:rsidRDefault="005B5EF1" w14:paraId="123E3E58" w14:textId="77777777">
            <w:pPr>
              <w:spacing w:after="0"/>
            </w:pPr>
            <w:r>
              <w:rPr>
                <w:color w:val="FFFFFF"/>
              </w:rPr>
              <w:t>XXXXXXX</w:t>
            </w:r>
          </w:p>
        </w:tc>
        <w:tc>
          <w:tcPr>
            <w:tcW w:w="1418" w:type="dxa"/>
            <w:gridSpan w:val="2"/>
          </w:tcPr>
          <w:p w:rsidR="00382EDF" w:rsidRDefault="005B5EF1" w14:paraId="123E3E59" w14:textId="77777777">
            <w:pPr>
              <w:pBdr>
                <w:top w:val="nil"/>
                <w:left w:val="nil"/>
                <w:bottom w:val="nil"/>
                <w:right w:val="nil"/>
                <w:between w:val="nil"/>
              </w:pBdr>
              <w:spacing w:after="40"/>
              <w:rPr>
                <w:color w:val="73B9C1"/>
                <w:sz w:val="18"/>
                <w:szCs w:val="18"/>
              </w:rPr>
            </w:pPr>
            <w:r>
              <w:rPr>
                <w:color w:val="73B9C1"/>
                <w:sz w:val="18"/>
                <w:szCs w:val="18"/>
              </w:rPr>
              <w:t>Date published</w:t>
            </w:r>
          </w:p>
          <w:p w:rsidR="00382EDF" w:rsidRDefault="005B5EF1" w14:paraId="123E3E5A" w14:textId="77777777">
            <w:pPr>
              <w:spacing w:after="0"/>
            </w:pPr>
            <w:r>
              <w:rPr>
                <w:color w:val="FFFFFF"/>
              </w:rPr>
              <w:t>XX/XX/XX</w:t>
            </w:r>
          </w:p>
        </w:tc>
      </w:tr>
    </w:tbl>
    <w:p w:rsidR="00382EDF" w:rsidRDefault="00382EDF" w14:paraId="123E3E5C" w14:textId="77777777">
      <w:pPr>
        <w:pStyle w:val="Heading1"/>
      </w:pPr>
    </w:p>
    <w:p w:rsidR="00382EDF" w:rsidRDefault="005B5EF1" w14:paraId="123E3E5D" w14:textId="77777777">
      <w:pPr>
        <w:spacing w:after="0"/>
        <w:rPr>
          <w:b/>
          <w:bCs/>
          <w:color w:val="005B7F"/>
          <w:sz w:val="36"/>
          <w:szCs w:val="36"/>
        </w:rPr>
        <w:sectPr w:rsidR="00382EDF">
          <w:headerReference w:type="default" r:id="rId11"/>
          <w:footerReference w:type="even" r:id="rId12"/>
          <w:footerReference w:type="default" r:id="rId13"/>
          <w:headerReference w:type="first" r:id="rId14"/>
          <w:footerReference w:type="first" r:id="rId15"/>
          <w:pgSz w:w="11906" w:h="16838" w:orient="portrait"/>
          <w:pgMar w:top="1701" w:right="794" w:bottom="1440" w:left="794" w:header="539" w:footer="284" w:gutter="0"/>
          <w:pgNumType w:start="1"/>
          <w:cols w:space="720"/>
          <w:titlePg/>
        </w:sectPr>
      </w:pPr>
      <w:r>
        <w:br w:type="page"/>
      </w:r>
    </w:p>
    <w:p w:rsidR="00382EDF" w:rsidRDefault="005B5EF1" w14:paraId="123E3E5E" w14:textId="77777777">
      <w:pPr>
        <w:pStyle w:val="Heading1"/>
      </w:pPr>
      <w:bookmarkStart w:name="_heading=h.wqi568bnzmx8" w:colFirst="0" w:colLast="0" w:id="1"/>
      <w:bookmarkEnd w:id="1"/>
      <w:r>
        <w:t>Contents</w:t>
      </w:r>
    </w:p>
    <w:sdt>
      <w:sdtPr>
        <w:id w:val="-1816337182"/>
        <w:docPartObj>
          <w:docPartGallery w:val="Table of Contents"/>
          <w:docPartUnique/>
        </w:docPartObj>
      </w:sdtPr>
      <w:sdtContent>
        <w:p w:rsidR="00382EDF" w:rsidRDefault="005B5EF1" w14:paraId="123E3E5F" w14:textId="77777777">
          <w:pPr>
            <w:widowControl w:val="0"/>
            <w:tabs>
              <w:tab w:val="right" w:pos="12000"/>
            </w:tabs>
            <w:spacing w:before="60" w:after="0"/>
            <w:rPr>
              <w:b/>
              <w:bCs/>
              <w:color w:val="000000"/>
              <w:sz w:val="22"/>
              <w:szCs w:val="22"/>
            </w:rPr>
          </w:pPr>
          <w:r>
            <w:fldChar w:fldCharType="begin"/>
          </w:r>
          <w:r>
            <w:instrText xml:space="preserve"> TOC \h \u \z \t "Heading 1,1,Heading 2,2,"</w:instrText>
          </w:r>
          <w:r>
            <w:fldChar w:fldCharType="separate"/>
          </w:r>
          <w:hyperlink w:anchor="_heading=h.wqi568bnzmx8">
            <w:r>
              <w:rPr>
                <w:b/>
                <w:bCs/>
                <w:color w:val="005B7F"/>
                <w:sz w:val="24"/>
                <w:szCs w:val="24"/>
              </w:rPr>
              <w:t>Contents</w:t>
            </w:r>
            <w:r>
              <w:rPr>
                <w:b/>
                <w:bCs/>
                <w:color w:val="005B7F"/>
                <w:sz w:val="24"/>
                <w:szCs w:val="24"/>
              </w:rPr>
              <w:tab/>
            </w:r>
            <w:r>
              <w:rPr>
                <w:b/>
                <w:bCs/>
                <w:color w:val="005B7F"/>
                <w:sz w:val="24"/>
                <w:szCs w:val="24"/>
              </w:rPr>
              <w:t>2</w:t>
            </w:r>
          </w:hyperlink>
        </w:p>
        <w:p w:rsidR="00382EDF" w:rsidRDefault="005B5EF1" w14:paraId="123E3E60" w14:textId="77777777">
          <w:pPr>
            <w:widowControl w:val="0"/>
            <w:tabs>
              <w:tab w:val="right" w:pos="12000"/>
            </w:tabs>
            <w:spacing w:before="60" w:after="0"/>
            <w:rPr>
              <w:b/>
              <w:bCs/>
              <w:color w:val="000000"/>
              <w:sz w:val="22"/>
              <w:szCs w:val="22"/>
            </w:rPr>
          </w:pPr>
          <w:hyperlink w:anchor="_heading=h.hc8r9gt7vm6f">
            <w:r>
              <w:rPr>
                <w:b/>
                <w:bCs/>
                <w:color w:val="005B7F"/>
                <w:sz w:val="24"/>
                <w:szCs w:val="24"/>
              </w:rPr>
              <w:t>1.0 Abstract</w:t>
            </w:r>
            <w:r>
              <w:rPr>
                <w:b/>
                <w:bCs/>
                <w:color w:val="005B7F"/>
                <w:sz w:val="24"/>
                <w:szCs w:val="24"/>
              </w:rPr>
              <w:tab/>
            </w:r>
            <w:r>
              <w:rPr>
                <w:b/>
                <w:bCs/>
                <w:color w:val="005B7F"/>
                <w:sz w:val="24"/>
                <w:szCs w:val="24"/>
              </w:rPr>
              <w:t>3</w:t>
            </w:r>
          </w:hyperlink>
        </w:p>
        <w:p w:rsidR="00382EDF" w:rsidRDefault="005B5EF1" w14:paraId="123E3E61" w14:textId="77777777">
          <w:pPr>
            <w:widowControl w:val="0"/>
            <w:tabs>
              <w:tab w:val="right" w:pos="12000"/>
            </w:tabs>
            <w:spacing w:before="60" w:after="0"/>
            <w:rPr>
              <w:b/>
              <w:bCs/>
              <w:color w:val="000000"/>
              <w:sz w:val="22"/>
              <w:szCs w:val="22"/>
            </w:rPr>
          </w:pPr>
          <w:hyperlink w:anchor="_heading=h.le2kt7h5u6h7">
            <w:r>
              <w:rPr>
                <w:b/>
                <w:bCs/>
                <w:color w:val="005B7F"/>
                <w:sz w:val="24"/>
                <w:szCs w:val="24"/>
              </w:rPr>
              <w:t>2.0 Executive summary</w:t>
            </w:r>
            <w:r>
              <w:rPr>
                <w:b/>
                <w:bCs/>
                <w:color w:val="005B7F"/>
                <w:sz w:val="24"/>
                <w:szCs w:val="24"/>
              </w:rPr>
              <w:tab/>
            </w:r>
            <w:r>
              <w:rPr>
                <w:b/>
                <w:bCs/>
                <w:color w:val="005B7F"/>
                <w:sz w:val="24"/>
                <w:szCs w:val="24"/>
              </w:rPr>
              <w:t>3</w:t>
            </w:r>
          </w:hyperlink>
        </w:p>
        <w:p w:rsidR="00382EDF" w:rsidRDefault="005B5EF1" w14:paraId="123E3E62" w14:textId="77777777">
          <w:pPr>
            <w:widowControl w:val="0"/>
            <w:tabs>
              <w:tab w:val="right" w:pos="12000"/>
            </w:tabs>
            <w:spacing w:before="60" w:after="0"/>
            <w:rPr>
              <w:b/>
              <w:bCs/>
              <w:color w:val="000000"/>
              <w:sz w:val="22"/>
              <w:szCs w:val="22"/>
            </w:rPr>
          </w:pPr>
          <w:hyperlink w:anchor="_heading=h.rgha94cseadi">
            <w:r>
              <w:rPr>
                <w:b/>
                <w:bCs/>
                <w:color w:val="005B7F"/>
                <w:sz w:val="24"/>
                <w:szCs w:val="24"/>
              </w:rPr>
              <w:t>3.0 Introduction</w:t>
            </w:r>
            <w:r>
              <w:rPr>
                <w:b/>
                <w:bCs/>
                <w:color w:val="005B7F"/>
                <w:sz w:val="24"/>
                <w:szCs w:val="24"/>
              </w:rPr>
              <w:tab/>
            </w:r>
            <w:r>
              <w:rPr>
                <w:b/>
                <w:bCs/>
                <w:color w:val="005B7F"/>
                <w:sz w:val="24"/>
                <w:szCs w:val="24"/>
              </w:rPr>
              <w:t>4</w:t>
            </w:r>
          </w:hyperlink>
        </w:p>
        <w:p w:rsidR="00382EDF" w:rsidRDefault="005B5EF1" w14:paraId="123E3E63" w14:textId="77777777">
          <w:pPr>
            <w:widowControl w:val="0"/>
            <w:tabs>
              <w:tab w:val="right" w:pos="12000"/>
            </w:tabs>
            <w:spacing w:before="60" w:after="0"/>
            <w:rPr>
              <w:b/>
              <w:bCs/>
              <w:color w:val="000000"/>
              <w:sz w:val="22"/>
              <w:szCs w:val="22"/>
            </w:rPr>
          </w:pPr>
          <w:hyperlink w:anchor="_heading=h.t3uf9zi1x9">
            <w:r>
              <w:rPr>
                <w:b/>
                <w:bCs/>
                <w:color w:val="005575"/>
                <w:sz w:val="24"/>
                <w:szCs w:val="24"/>
              </w:rPr>
              <w:t>4.0 Project objectives</w:t>
            </w:r>
            <w:r>
              <w:rPr>
                <w:b/>
                <w:bCs/>
                <w:color w:val="005575"/>
                <w:sz w:val="24"/>
                <w:szCs w:val="24"/>
              </w:rPr>
              <w:tab/>
            </w:r>
            <w:r>
              <w:rPr>
                <w:b/>
                <w:bCs/>
                <w:color w:val="005575"/>
                <w:sz w:val="24"/>
                <w:szCs w:val="24"/>
              </w:rPr>
              <w:t>6</w:t>
            </w:r>
          </w:hyperlink>
        </w:p>
        <w:p w:rsidR="00382EDF" w:rsidRDefault="005B5EF1" w14:paraId="123E3E64" w14:textId="77777777">
          <w:pPr>
            <w:widowControl w:val="0"/>
            <w:tabs>
              <w:tab w:val="right" w:pos="12000"/>
            </w:tabs>
            <w:spacing w:before="60" w:after="0"/>
            <w:rPr>
              <w:b/>
              <w:bCs/>
              <w:color w:val="000000"/>
              <w:sz w:val="22"/>
              <w:szCs w:val="22"/>
            </w:rPr>
          </w:pPr>
          <w:hyperlink w:anchor="_heading=h.iji1lgmvujkj">
            <w:r>
              <w:rPr>
                <w:b/>
                <w:bCs/>
                <w:color w:val="005575"/>
                <w:sz w:val="24"/>
                <w:szCs w:val="24"/>
              </w:rPr>
              <w:t>5.0 Methodology</w:t>
            </w:r>
            <w:r>
              <w:rPr>
                <w:b/>
                <w:bCs/>
                <w:color w:val="005575"/>
                <w:sz w:val="24"/>
                <w:szCs w:val="24"/>
              </w:rPr>
              <w:tab/>
            </w:r>
            <w:r>
              <w:rPr>
                <w:b/>
                <w:bCs/>
                <w:color w:val="005575"/>
                <w:sz w:val="24"/>
                <w:szCs w:val="24"/>
              </w:rPr>
              <w:t>6</w:t>
            </w:r>
          </w:hyperlink>
        </w:p>
        <w:p w:rsidR="00382EDF" w:rsidRDefault="005B5EF1" w14:paraId="123E3E65" w14:textId="77777777">
          <w:pPr>
            <w:widowControl w:val="0"/>
            <w:tabs>
              <w:tab w:val="right" w:pos="12000"/>
            </w:tabs>
            <w:spacing w:before="60" w:after="0"/>
            <w:ind w:left="360"/>
            <w:rPr>
              <w:color w:val="000000"/>
              <w:sz w:val="22"/>
              <w:szCs w:val="22"/>
            </w:rPr>
          </w:pPr>
          <w:hyperlink w:anchor="_heading=h.9tn3cjkzwg9t">
            <w:r>
              <w:rPr>
                <w:color w:val="000000"/>
                <w:sz w:val="22"/>
                <w:szCs w:val="22"/>
              </w:rPr>
              <w:t>5.1 Overview</w:t>
            </w:r>
            <w:r>
              <w:rPr>
                <w:color w:val="000000"/>
                <w:sz w:val="22"/>
                <w:szCs w:val="22"/>
              </w:rPr>
              <w:tab/>
            </w:r>
            <w:r>
              <w:rPr>
                <w:color w:val="000000"/>
                <w:sz w:val="22"/>
                <w:szCs w:val="22"/>
              </w:rPr>
              <w:t>6</w:t>
            </w:r>
          </w:hyperlink>
        </w:p>
        <w:p w:rsidR="00382EDF" w:rsidRDefault="005B5EF1" w14:paraId="123E3E66" w14:textId="77777777">
          <w:pPr>
            <w:widowControl w:val="0"/>
            <w:tabs>
              <w:tab w:val="right" w:pos="12000"/>
            </w:tabs>
            <w:spacing w:before="60" w:after="0"/>
            <w:ind w:left="360"/>
            <w:rPr>
              <w:color w:val="000000"/>
              <w:sz w:val="22"/>
              <w:szCs w:val="22"/>
            </w:rPr>
          </w:pPr>
          <w:hyperlink w:anchor="_heading=h.vtutl12v3meg">
            <w:r>
              <w:rPr>
                <w:color w:val="000000"/>
                <w:sz w:val="22"/>
                <w:szCs w:val="22"/>
              </w:rPr>
              <w:t>5.2 Project Phasing</w:t>
            </w:r>
            <w:r>
              <w:rPr>
                <w:color w:val="000000"/>
                <w:sz w:val="22"/>
                <w:szCs w:val="22"/>
              </w:rPr>
              <w:tab/>
            </w:r>
            <w:r>
              <w:rPr>
                <w:color w:val="000000"/>
                <w:sz w:val="22"/>
                <w:szCs w:val="22"/>
              </w:rPr>
              <w:t>7</w:t>
            </w:r>
          </w:hyperlink>
        </w:p>
        <w:p w:rsidR="00382EDF" w:rsidRDefault="005B5EF1" w14:paraId="123E3E67" w14:textId="77777777">
          <w:pPr>
            <w:widowControl w:val="0"/>
            <w:tabs>
              <w:tab w:val="right" w:pos="12000"/>
            </w:tabs>
            <w:spacing w:before="60" w:after="0"/>
            <w:ind w:left="360"/>
            <w:rPr>
              <w:color w:val="000000"/>
              <w:sz w:val="22"/>
              <w:szCs w:val="22"/>
            </w:rPr>
          </w:pPr>
          <w:hyperlink w:anchor="_heading=h.ne47eo1jzw9l">
            <w:r>
              <w:rPr>
                <w:color w:val="000000"/>
                <w:sz w:val="22"/>
                <w:szCs w:val="22"/>
              </w:rPr>
              <w:t>5.3 Welfare Risk Assessment Framework</w:t>
            </w:r>
            <w:r>
              <w:rPr>
                <w:color w:val="000000"/>
                <w:sz w:val="22"/>
                <w:szCs w:val="22"/>
              </w:rPr>
              <w:tab/>
            </w:r>
            <w:r>
              <w:rPr>
                <w:color w:val="000000"/>
                <w:sz w:val="22"/>
                <w:szCs w:val="22"/>
              </w:rPr>
              <w:t>9</w:t>
            </w:r>
          </w:hyperlink>
        </w:p>
        <w:p w:rsidR="00382EDF" w:rsidRDefault="005B5EF1" w14:paraId="123E3E68" w14:textId="77777777">
          <w:pPr>
            <w:widowControl w:val="0"/>
            <w:tabs>
              <w:tab w:val="right" w:pos="12000"/>
            </w:tabs>
            <w:spacing w:before="60" w:after="0"/>
            <w:ind w:left="360"/>
            <w:rPr>
              <w:color w:val="000000"/>
              <w:sz w:val="22"/>
              <w:szCs w:val="22"/>
            </w:rPr>
          </w:pPr>
          <w:hyperlink w:anchor="_heading=h.o86i6mlj94gp">
            <w:r>
              <w:rPr>
                <w:color w:val="000000"/>
                <w:sz w:val="22"/>
                <w:szCs w:val="22"/>
              </w:rPr>
              <w:t>5.4 Limitations of the Methodological Approach</w:t>
            </w:r>
            <w:r>
              <w:rPr>
                <w:color w:val="000000"/>
                <w:sz w:val="22"/>
                <w:szCs w:val="22"/>
              </w:rPr>
              <w:tab/>
            </w:r>
            <w:r>
              <w:rPr>
                <w:color w:val="000000"/>
                <w:sz w:val="22"/>
                <w:szCs w:val="22"/>
              </w:rPr>
              <w:t>9</w:t>
            </w:r>
          </w:hyperlink>
        </w:p>
        <w:p w:rsidR="00382EDF" w:rsidRDefault="005B5EF1" w14:paraId="123E3E69" w14:textId="77777777">
          <w:pPr>
            <w:widowControl w:val="0"/>
            <w:tabs>
              <w:tab w:val="right" w:pos="12000"/>
            </w:tabs>
            <w:spacing w:before="60" w:after="0"/>
            <w:rPr>
              <w:b/>
              <w:bCs/>
              <w:color w:val="000000"/>
              <w:sz w:val="22"/>
              <w:szCs w:val="22"/>
            </w:rPr>
          </w:pPr>
          <w:hyperlink w:anchor="_heading=h.wdag2zalo3to">
            <w:r>
              <w:rPr>
                <w:b/>
                <w:bCs/>
                <w:color w:val="005575"/>
                <w:sz w:val="24"/>
                <w:szCs w:val="24"/>
              </w:rPr>
              <w:t>6.0 Results</w:t>
            </w:r>
            <w:r>
              <w:rPr>
                <w:b/>
                <w:bCs/>
                <w:color w:val="005575"/>
                <w:sz w:val="24"/>
                <w:szCs w:val="24"/>
              </w:rPr>
              <w:tab/>
            </w:r>
            <w:r>
              <w:rPr>
                <w:b/>
                <w:bCs/>
                <w:color w:val="005575"/>
                <w:sz w:val="24"/>
                <w:szCs w:val="24"/>
              </w:rPr>
              <w:t>9</w:t>
            </w:r>
          </w:hyperlink>
        </w:p>
        <w:p w:rsidR="00382EDF" w:rsidRDefault="005B5EF1" w14:paraId="123E3E6A" w14:textId="77777777">
          <w:pPr>
            <w:widowControl w:val="0"/>
            <w:tabs>
              <w:tab w:val="right" w:pos="12000"/>
            </w:tabs>
            <w:spacing w:before="60" w:after="0"/>
            <w:ind w:left="360"/>
            <w:rPr>
              <w:color w:val="000000"/>
              <w:sz w:val="22"/>
              <w:szCs w:val="22"/>
            </w:rPr>
          </w:pPr>
          <w:hyperlink w:anchor="_heading=h.xvwq1tvxuj0h">
            <w:r>
              <w:rPr>
                <w:color w:val="000000"/>
                <w:sz w:val="22"/>
                <w:szCs w:val="22"/>
              </w:rPr>
              <w:t>6.1 Phase 1 – System Installation and Initial Operational Conditions</w:t>
            </w:r>
            <w:r>
              <w:rPr>
                <w:color w:val="000000"/>
                <w:sz w:val="22"/>
                <w:szCs w:val="22"/>
              </w:rPr>
              <w:tab/>
            </w:r>
            <w:r>
              <w:rPr>
                <w:color w:val="000000"/>
                <w:sz w:val="22"/>
                <w:szCs w:val="22"/>
              </w:rPr>
              <w:t>9</w:t>
            </w:r>
          </w:hyperlink>
        </w:p>
        <w:p w:rsidR="00382EDF" w:rsidRDefault="005B5EF1" w14:paraId="123E3E6B" w14:textId="77777777">
          <w:pPr>
            <w:widowControl w:val="0"/>
            <w:tabs>
              <w:tab w:val="right" w:pos="12000"/>
            </w:tabs>
            <w:spacing w:before="60" w:after="0"/>
            <w:ind w:left="360"/>
            <w:rPr>
              <w:color w:val="000000"/>
              <w:sz w:val="22"/>
              <w:szCs w:val="22"/>
            </w:rPr>
          </w:pPr>
          <w:hyperlink w:anchor="_heading=h.k1tp8s2i5j2j">
            <w:r>
              <w:rPr>
                <w:color w:val="000000"/>
                <w:sz w:val="22"/>
                <w:szCs w:val="22"/>
              </w:rPr>
              <w:t>6.2 Phase 2 – AI Model Training and Early Hybrid Monitoring Development</w:t>
            </w:r>
            <w:r>
              <w:rPr>
                <w:color w:val="000000"/>
                <w:sz w:val="22"/>
                <w:szCs w:val="22"/>
              </w:rPr>
              <w:tab/>
            </w:r>
            <w:r>
              <w:rPr>
                <w:color w:val="000000"/>
                <w:sz w:val="22"/>
                <w:szCs w:val="22"/>
              </w:rPr>
              <w:t>10</w:t>
            </w:r>
          </w:hyperlink>
        </w:p>
        <w:p w:rsidR="00382EDF" w:rsidRDefault="005B5EF1" w14:paraId="123E3E6C" w14:textId="77777777">
          <w:pPr>
            <w:widowControl w:val="0"/>
            <w:tabs>
              <w:tab w:val="right" w:pos="12000"/>
            </w:tabs>
            <w:spacing w:before="60" w:after="0"/>
            <w:ind w:left="360"/>
            <w:rPr>
              <w:color w:val="000000"/>
              <w:sz w:val="22"/>
              <w:szCs w:val="22"/>
            </w:rPr>
          </w:pPr>
          <w:hyperlink w:anchor="_heading=h.ra1coyo6r0x9">
            <w:r>
              <w:rPr>
                <w:color w:val="000000"/>
                <w:sz w:val="22"/>
                <w:szCs w:val="22"/>
              </w:rPr>
              <w:t>6.3 Phase 3 – Data Integration, Welfare Trend Stabilisation, and Organisational Reform</w:t>
            </w:r>
            <w:r>
              <w:rPr>
                <w:color w:val="000000"/>
                <w:sz w:val="22"/>
                <w:szCs w:val="22"/>
              </w:rPr>
              <w:tab/>
            </w:r>
            <w:r>
              <w:rPr>
                <w:color w:val="000000"/>
                <w:sz w:val="22"/>
                <w:szCs w:val="22"/>
              </w:rPr>
              <w:t>10</w:t>
            </w:r>
          </w:hyperlink>
        </w:p>
        <w:p w:rsidR="00382EDF" w:rsidRDefault="005B5EF1" w14:paraId="123E3E6D" w14:textId="77777777">
          <w:pPr>
            <w:widowControl w:val="0"/>
            <w:tabs>
              <w:tab w:val="right" w:pos="12000"/>
            </w:tabs>
            <w:spacing w:before="60" w:after="0"/>
            <w:ind w:left="360"/>
            <w:rPr>
              <w:color w:val="000000"/>
              <w:sz w:val="22"/>
              <w:szCs w:val="22"/>
            </w:rPr>
          </w:pPr>
          <w:hyperlink w:anchor="_heading=h.juc5h7mbyprt">
            <w:r>
              <w:rPr>
                <w:color w:val="000000"/>
                <w:sz w:val="22"/>
                <w:szCs w:val="22"/>
              </w:rPr>
              <w:t>6.4 Phase 4 – Data Security and Governance Findings</w:t>
            </w:r>
            <w:r>
              <w:rPr>
                <w:color w:val="000000"/>
                <w:sz w:val="22"/>
                <w:szCs w:val="22"/>
              </w:rPr>
              <w:tab/>
            </w:r>
            <w:r>
              <w:rPr>
                <w:color w:val="000000"/>
                <w:sz w:val="22"/>
                <w:szCs w:val="22"/>
              </w:rPr>
              <w:t>14</w:t>
            </w:r>
          </w:hyperlink>
        </w:p>
        <w:p w:rsidR="00382EDF" w:rsidRDefault="005B5EF1" w14:paraId="123E3E6E" w14:textId="77777777">
          <w:pPr>
            <w:widowControl w:val="0"/>
            <w:tabs>
              <w:tab w:val="right" w:pos="12000"/>
            </w:tabs>
            <w:spacing w:before="60" w:after="0"/>
            <w:ind w:left="360"/>
            <w:rPr>
              <w:color w:val="000000"/>
              <w:sz w:val="22"/>
              <w:szCs w:val="22"/>
            </w:rPr>
          </w:pPr>
          <w:hyperlink w:anchor="_heading=h.feawvsvjyqhd">
            <w:r>
              <w:rPr>
                <w:color w:val="000000"/>
                <w:sz w:val="22"/>
                <w:szCs w:val="22"/>
              </w:rPr>
              <w:t>6.5 Phase 5 – Case Study Development and Consolidated Outcomes</w:t>
            </w:r>
            <w:r>
              <w:rPr>
                <w:color w:val="000000"/>
                <w:sz w:val="22"/>
                <w:szCs w:val="22"/>
              </w:rPr>
              <w:tab/>
            </w:r>
            <w:r>
              <w:rPr>
                <w:color w:val="000000"/>
                <w:sz w:val="22"/>
                <w:szCs w:val="22"/>
              </w:rPr>
              <w:t>14</w:t>
            </w:r>
          </w:hyperlink>
        </w:p>
        <w:p w:rsidR="00382EDF" w:rsidRDefault="005B5EF1" w14:paraId="123E3E6F" w14:textId="77777777">
          <w:pPr>
            <w:widowControl w:val="0"/>
            <w:tabs>
              <w:tab w:val="right" w:pos="12000"/>
            </w:tabs>
            <w:spacing w:before="60" w:after="0"/>
            <w:rPr>
              <w:b/>
              <w:bCs/>
              <w:color w:val="000000"/>
              <w:sz w:val="22"/>
              <w:szCs w:val="22"/>
            </w:rPr>
          </w:pPr>
          <w:hyperlink w:anchor="_heading=h.m5p05vyvkfnj">
            <w:r>
              <w:rPr>
                <w:b/>
                <w:bCs/>
                <w:color w:val="005575"/>
                <w:sz w:val="24"/>
                <w:szCs w:val="24"/>
              </w:rPr>
              <w:t>7.0 Discussion</w:t>
            </w:r>
            <w:r>
              <w:rPr>
                <w:b/>
                <w:bCs/>
                <w:color w:val="005575"/>
                <w:sz w:val="24"/>
                <w:szCs w:val="24"/>
              </w:rPr>
              <w:tab/>
            </w:r>
            <w:r>
              <w:rPr>
                <w:b/>
                <w:bCs/>
                <w:color w:val="005575"/>
                <w:sz w:val="24"/>
                <w:szCs w:val="24"/>
              </w:rPr>
              <w:t>15</w:t>
            </w:r>
          </w:hyperlink>
        </w:p>
        <w:p w:rsidR="00382EDF" w:rsidRDefault="005B5EF1" w14:paraId="123E3E70" w14:textId="77777777">
          <w:pPr>
            <w:widowControl w:val="0"/>
            <w:tabs>
              <w:tab w:val="right" w:pos="12000"/>
            </w:tabs>
            <w:spacing w:before="60" w:after="0"/>
            <w:ind w:left="360"/>
            <w:rPr>
              <w:color w:val="000000"/>
              <w:sz w:val="22"/>
              <w:szCs w:val="22"/>
            </w:rPr>
          </w:pPr>
          <w:hyperlink w:anchor="_heading=h.ado8ukhylzvr">
            <w:r>
              <w:rPr>
                <w:color w:val="000000"/>
                <w:sz w:val="22"/>
                <w:szCs w:val="22"/>
              </w:rPr>
              <w:t>7.1 Interpreting the Role of AI in Multi-Species Abattoirs</w:t>
            </w:r>
            <w:r>
              <w:rPr>
                <w:color w:val="000000"/>
                <w:sz w:val="22"/>
                <w:szCs w:val="22"/>
              </w:rPr>
              <w:tab/>
            </w:r>
            <w:r>
              <w:rPr>
                <w:color w:val="000000"/>
                <w:sz w:val="22"/>
                <w:szCs w:val="22"/>
              </w:rPr>
              <w:t>15</w:t>
            </w:r>
          </w:hyperlink>
        </w:p>
        <w:p w:rsidR="00382EDF" w:rsidRDefault="005B5EF1" w14:paraId="123E3E71" w14:textId="77777777">
          <w:pPr>
            <w:widowControl w:val="0"/>
            <w:tabs>
              <w:tab w:val="right" w:pos="12000"/>
            </w:tabs>
            <w:spacing w:before="60" w:after="0"/>
            <w:ind w:left="360"/>
            <w:rPr>
              <w:color w:val="000000"/>
              <w:sz w:val="22"/>
              <w:szCs w:val="22"/>
            </w:rPr>
          </w:pPr>
          <w:hyperlink w:anchor="_heading=h.lx1pdbiz07br">
            <w:r>
              <w:rPr>
                <w:color w:val="000000"/>
                <w:sz w:val="22"/>
                <w:szCs w:val="22"/>
              </w:rPr>
              <w:t>7.2 Hybrid Monitoring as the Operationally Stable Model</w:t>
            </w:r>
            <w:r>
              <w:rPr>
                <w:color w:val="000000"/>
                <w:sz w:val="22"/>
                <w:szCs w:val="22"/>
              </w:rPr>
              <w:tab/>
            </w:r>
            <w:r>
              <w:rPr>
                <w:color w:val="000000"/>
                <w:sz w:val="22"/>
                <w:szCs w:val="22"/>
              </w:rPr>
              <w:t>15</w:t>
            </w:r>
          </w:hyperlink>
        </w:p>
        <w:p w:rsidR="00382EDF" w:rsidRDefault="005B5EF1" w14:paraId="123E3E72" w14:textId="77777777">
          <w:pPr>
            <w:widowControl w:val="0"/>
            <w:tabs>
              <w:tab w:val="right" w:pos="12000"/>
            </w:tabs>
            <w:spacing w:before="60" w:after="0"/>
            <w:ind w:left="360"/>
            <w:rPr>
              <w:color w:val="000000"/>
              <w:sz w:val="22"/>
              <w:szCs w:val="22"/>
            </w:rPr>
          </w:pPr>
          <w:hyperlink w:anchor="_heading=h.h6nagpwi0jrz">
            <w:r>
              <w:rPr>
                <w:color w:val="000000"/>
                <w:sz w:val="22"/>
                <w:szCs w:val="22"/>
              </w:rPr>
              <w:t>7.3 Governance and Leadership as Mediators of Technology Impact</w:t>
            </w:r>
            <w:r>
              <w:rPr>
                <w:color w:val="000000"/>
                <w:sz w:val="22"/>
                <w:szCs w:val="22"/>
              </w:rPr>
              <w:tab/>
            </w:r>
            <w:r>
              <w:rPr>
                <w:color w:val="000000"/>
                <w:sz w:val="22"/>
                <w:szCs w:val="22"/>
              </w:rPr>
              <w:t>16</w:t>
            </w:r>
          </w:hyperlink>
        </w:p>
        <w:p w:rsidR="00382EDF" w:rsidRDefault="005B5EF1" w14:paraId="123E3E73" w14:textId="77777777">
          <w:pPr>
            <w:widowControl w:val="0"/>
            <w:tabs>
              <w:tab w:val="right" w:pos="12000"/>
            </w:tabs>
            <w:spacing w:before="60" w:after="0"/>
            <w:ind w:left="360"/>
            <w:rPr>
              <w:color w:val="000000"/>
              <w:sz w:val="22"/>
              <w:szCs w:val="22"/>
            </w:rPr>
          </w:pPr>
          <w:hyperlink w:anchor="_heading=h.lj31uijiu24">
            <w:r>
              <w:rPr>
                <w:color w:val="000000"/>
                <w:sz w:val="22"/>
                <w:szCs w:val="22"/>
              </w:rPr>
              <w:t>7.4 Measurable Welfare Improvements and Their Drivers</w:t>
            </w:r>
            <w:r>
              <w:rPr>
                <w:color w:val="000000"/>
                <w:sz w:val="22"/>
                <w:szCs w:val="22"/>
              </w:rPr>
              <w:tab/>
            </w:r>
            <w:r>
              <w:rPr>
                <w:color w:val="000000"/>
                <w:sz w:val="22"/>
                <w:szCs w:val="22"/>
              </w:rPr>
              <w:t>16</w:t>
            </w:r>
          </w:hyperlink>
        </w:p>
        <w:p w:rsidR="00382EDF" w:rsidRDefault="005B5EF1" w14:paraId="123E3E74" w14:textId="77777777">
          <w:pPr>
            <w:widowControl w:val="0"/>
            <w:tabs>
              <w:tab w:val="right" w:pos="12000"/>
            </w:tabs>
            <w:spacing w:before="60" w:after="0"/>
            <w:ind w:left="360"/>
            <w:rPr>
              <w:color w:val="000000"/>
              <w:sz w:val="22"/>
              <w:szCs w:val="22"/>
            </w:rPr>
          </w:pPr>
          <w:hyperlink w:anchor="_heading=h.x6mr35tyq15c">
            <w:r>
              <w:rPr>
                <w:color w:val="000000"/>
                <w:sz w:val="22"/>
                <w:szCs w:val="22"/>
              </w:rPr>
              <w:t>7.5 Data Security and Monitoring Maturity</w:t>
            </w:r>
            <w:r>
              <w:rPr>
                <w:color w:val="000000"/>
                <w:sz w:val="22"/>
                <w:szCs w:val="22"/>
              </w:rPr>
              <w:tab/>
            </w:r>
            <w:r>
              <w:rPr>
                <w:color w:val="000000"/>
                <w:sz w:val="22"/>
                <w:szCs w:val="22"/>
              </w:rPr>
              <w:t>16</w:t>
            </w:r>
          </w:hyperlink>
        </w:p>
        <w:p w:rsidR="00382EDF" w:rsidRDefault="005B5EF1" w14:paraId="123E3E75" w14:textId="77777777">
          <w:pPr>
            <w:widowControl w:val="0"/>
            <w:tabs>
              <w:tab w:val="right" w:pos="12000"/>
            </w:tabs>
            <w:spacing w:before="60" w:after="0"/>
            <w:ind w:left="360"/>
            <w:rPr>
              <w:color w:val="000000"/>
              <w:sz w:val="22"/>
              <w:szCs w:val="22"/>
            </w:rPr>
          </w:pPr>
          <w:hyperlink w:anchor="_heading=h.kjyjcvjba4m2">
            <w:r>
              <w:rPr>
                <w:color w:val="000000"/>
                <w:sz w:val="22"/>
                <w:szCs w:val="22"/>
              </w:rPr>
              <w:t>7.6 Implications for Proportionate Investment</w:t>
            </w:r>
            <w:r>
              <w:rPr>
                <w:color w:val="000000"/>
                <w:sz w:val="22"/>
                <w:szCs w:val="22"/>
              </w:rPr>
              <w:tab/>
            </w:r>
            <w:r>
              <w:rPr>
                <w:color w:val="000000"/>
                <w:sz w:val="22"/>
                <w:szCs w:val="22"/>
              </w:rPr>
              <w:t>17</w:t>
            </w:r>
          </w:hyperlink>
        </w:p>
        <w:p w:rsidR="00382EDF" w:rsidRDefault="005B5EF1" w14:paraId="123E3E76" w14:textId="77777777">
          <w:pPr>
            <w:widowControl w:val="0"/>
            <w:tabs>
              <w:tab w:val="right" w:pos="12000"/>
            </w:tabs>
            <w:spacing w:before="60" w:after="0"/>
            <w:ind w:left="360"/>
            <w:rPr>
              <w:color w:val="000000"/>
              <w:sz w:val="22"/>
              <w:szCs w:val="22"/>
            </w:rPr>
          </w:pPr>
          <w:hyperlink w:anchor="_heading=h.xi2a6xywgped">
            <w:r>
              <w:rPr>
                <w:color w:val="000000"/>
                <w:sz w:val="22"/>
                <w:szCs w:val="22"/>
              </w:rPr>
              <w:t>7.7 Integration with Independent Operational Review</w:t>
            </w:r>
            <w:r>
              <w:rPr>
                <w:color w:val="000000"/>
                <w:sz w:val="22"/>
                <w:szCs w:val="22"/>
              </w:rPr>
              <w:tab/>
            </w:r>
            <w:r>
              <w:rPr>
                <w:color w:val="000000"/>
                <w:sz w:val="22"/>
                <w:szCs w:val="22"/>
              </w:rPr>
              <w:t>17</w:t>
            </w:r>
          </w:hyperlink>
        </w:p>
        <w:p w:rsidR="00382EDF" w:rsidRDefault="005B5EF1" w14:paraId="123E3E77" w14:textId="77777777">
          <w:pPr>
            <w:widowControl w:val="0"/>
            <w:tabs>
              <w:tab w:val="right" w:pos="12000"/>
            </w:tabs>
            <w:spacing w:before="60" w:after="0"/>
            <w:ind w:left="360"/>
            <w:rPr>
              <w:color w:val="000000"/>
              <w:sz w:val="22"/>
              <w:szCs w:val="22"/>
            </w:rPr>
          </w:pPr>
          <w:hyperlink w:anchor="_heading=h.wnbq2bn736d7">
            <w:r>
              <w:rPr>
                <w:color w:val="000000"/>
                <w:sz w:val="22"/>
                <w:szCs w:val="22"/>
              </w:rPr>
              <w:t>7.8 Summary of Industry-Relevant Insights</w:t>
            </w:r>
            <w:r>
              <w:rPr>
                <w:color w:val="000000"/>
                <w:sz w:val="22"/>
                <w:szCs w:val="22"/>
              </w:rPr>
              <w:tab/>
            </w:r>
            <w:r>
              <w:rPr>
                <w:color w:val="000000"/>
                <w:sz w:val="22"/>
                <w:szCs w:val="22"/>
              </w:rPr>
              <w:t>17</w:t>
            </w:r>
          </w:hyperlink>
        </w:p>
        <w:p w:rsidR="00382EDF" w:rsidRDefault="005B5EF1" w14:paraId="123E3E78" w14:textId="77777777">
          <w:pPr>
            <w:widowControl w:val="0"/>
            <w:tabs>
              <w:tab w:val="right" w:pos="12000"/>
            </w:tabs>
            <w:spacing w:before="60" w:after="0"/>
            <w:rPr>
              <w:b/>
              <w:bCs/>
              <w:color w:val="000000"/>
              <w:sz w:val="22"/>
              <w:szCs w:val="22"/>
            </w:rPr>
          </w:pPr>
          <w:hyperlink w:anchor="_heading=h.yc13comvzam4">
            <w:r>
              <w:rPr>
                <w:b/>
                <w:bCs/>
                <w:color w:val="005575"/>
                <w:sz w:val="24"/>
                <w:szCs w:val="24"/>
              </w:rPr>
              <w:t>8.0 Conclusions</w:t>
            </w:r>
            <w:r>
              <w:rPr>
                <w:b/>
                <w:bCs/>
                <w:color w:val="005575"/>
                <w:sz w:val="24"/>
                <w:szCs w:val="24"/>
              </w:rPr>
              <w:tab/>
            </w:r>
            <w:r>
              <w:rPr>
                <w:b/>
                <w:bCs/>
                <w:color w:val="005575"/>
                <w:sz w:val="24"/>
                <w:szCs w:val="24"/>
              </w:rPr>
              <w:t>17</w:t>
            </w:r>
          </w:hyperlink>
        </w:p>
        <w:p w:rsidR="00382EDF" w:rsidRDefault="005B5EF1" w14:paraId="123E3E79" w14:textId="77777777">
          <w:pPr>
            <w:widowControl w:val="0"/>
            <w:tabs>
              <w:tab w:val="right" w:pos="12000"/>
            </w:tabs>
            <w:spacing w:before="60" w:after="0"/>
            <w:rPr>
              <w:b/>
              <w:bCs/>
              <w:color w:val="000000"/>
              <w:sz w:val="22"/>
              <w:szCs w:val="22"/>
            </w:rPr>
          </w:pPr>
          <w:hyperlink w:anchor="_heading=h.p1qs4i568pqg">
            <w:r>
              <w:rPr>
                <w:b/>
                <w:bCs/>
                <w:color w:val="005575"/>
                <w:sz w:val="24"/>
                <w:szCs w:val="24"/>
              </w:rPr>
              <w:t>9.0 Recommendations</w:t>
            </w:r>
            <w:r>
              <w:rPr>
                <w:b/>
                <w:bCs/>
                <w:color w:val="005575"/>
                <w:sz w:val="24"/>
                <w:szCs w:val="24"/>
              </w:rPr>
              <w:tab/>
            </w:r>
            <w:r>
              <w:rPr>
                <w:b/>
                <w:bCs/>
                <w:color w:val="005575"/>
                <w:sz w:val="24"/>
                <w:szCs w:val="24"/>
              </w:rPr>
              <w:t>18</w:t>
            </w:r>
          </w:hyperlink>
        </w:p>
        <w:p w:rsidR="00382EDF" w:rsidRDefault="005B5EF1" w14:paraId="123E3E7A" w14:textId="77777777">
          <w:pPr>
            <w:widowControl w:val="0"/>
            <w:tabs>
              <w:tab w:val="right" w:pos="12000"/>
            </w:tabs>
            <w:spacing w:before="60" w:after="0"/>
            <w:ind w:left="360"/>
            <w:rPr>
              <w:color w:val="000000"/>
              <w:sz w:val="22"/>
              <w:szCs w:val="22"/>
            </w:rPr>
          </w:pPr>
          <w:hyperlink w:anchor="_heading=h.otjoawt1wcn5">
            <w:r>
              <w:rPr>
                <w:color w:val="000000"/>
                <w:sz w:val="22"/>
                <w:szCs w:val="22"/>
              </w:rPr>
              <w:t>9.1 Establish a National Hybrid Monitoring Framework</w:t>
            </w:r>
            <w:r>
              <w:rPr>
                <w:color w:val="000000"/>
                <w:sz w:val="22"/>
                <w:szCs w:val="22"/>
              </w:rPr>
              <w:tab/>
            </w:r>
            <w:r>
              <w:rPr>
                <w:color w:val="000000"/>
                <w:sz w:val="22"/>
                <w:szCs w:val="22"/>
              </w:rPr>
              <w:t>18</w:t>
            </w:r>
          </w:hyperlink>
        </w:p>
        <w:p w:rsidR="00382EDF" w:rsidRDefault="005B5EF1" w14:paraId="123E3E7B" w14:textId="77777777">
          <w:pPr>
            <w:widowControl w:val="0"/>
            <w:tabs>
              <w:tab w:val="right" w:pos="12000"/>
            </w:tabs>
            <w:spacing w:before="60" w:after="0"/>
            <w:ind w:left="360"/>
            <w:rPr>
              <w:color w:val="000000"/>
              <w:sz w:val="22"/>
              <w:szCs w:val="22"/>
            </w:rPr>
          </w:pPr>
          <w:hyperlink w:anchor="_heading=h.1oe29qcso6h6">
            <w:r>
              <w:rPr>
                <w:color w:val="000000"/>
                <w:sz w:val="22"/>
                <w:szCs w:val="22"/>
              </w:rPr>
              <w:t>9.2 Establish Industry Data Governance and Cybersecurity Standards for Monitoring Systems</w:t>
            </w:r>
            <w:r>
              <w:rPr>
                <w:color w:val="000000"/>
                <w:sz w:val="22"/>
                <w:szCs w:val="22"/>
              </w:rPr>
              <w:tab/>
            </w:r>
            <w:r>
              <w:rPr>
                <w:color w:val="000000"/>
                <w:sz w:val="22"/>
                <w:szCs w:val="22"/>
              </w:rPr>
              <w:t>19</w:t>
            </w:r>
          </w:hyperlink>
        </w:p>
        <w:p w:rsidR="00382EDF" w:rsidRDefault="005B5EF1" w14:paraId="123E3E7C" w14:textId="77777777">
          <w:pPr>
            <w:widowControl w:val="0"/>
            <w:tabs>
              <w:tab w:val="right" w:pos="12000"/>
            </w:tabs>
            <w:spacing w:before="60" w:after="0"/>
            <w:ind w:left="360"/>
            <w:rPr>
              <w:color w:val="000000"/>
              <w:sz w:val="22"/>
              <w:szCs w:val="22"/>
            </w:rPr>
          </w:pPr>
          <w:hyperlink w:anchor="_heading=h.6lc08ymlkrkv">
            <w:r>
              <w:rPr>
                <w:color w:val="000000"/>
                <w:sz w:val="22"/>
                <w:szCs w:val="22"/>
              </w:rPr>
              <w:t>9.3 Support Animal Welfare Officer (AWO) Capability Development</w:t>
            </w:r>
            <w:r>
              <w:rPr>
                <w:color w:val="000000"/>
                <w:sz w:val="22"/>
                <w:szCs w:val="22"/>
              </w:rPr>
              <w:tab/>
            </w:r>
            <w:r>
              <w:rPr>
                <w:color w:val="000000"/>
                <w:sz w:val="22"/>
                <w:szCs w:val="22"/>
              </w:rPr>
              <w:t>19</w:t>
            </w:r>
          </w:hyperlink>
        </w:p>
        <w:p w:rsidR="00382EDF" w:rsidRDefault="005B5EF1" w14:paraId="123E3E7D" w14:textId="77777777">
          <w:pPr>
            <w:widowControl w:val="0"/>
            <w:tabs>
              <w:tab w:val="right" w:pos="12000"/>
            </w:tabs>
            <w:spacing w:before="60" w:after="0"/>
            <w:ind w:left="360"/>
            <w:rPr>
              <w:color w:val="000000"/>
              <w:sz w:val="22"/>
              <w:szCs w:val="22"/>
            </w:rPr>
          </w:pPr>
          <w:hyperlink w:anchor="_heading=h.ty3tf6uvejzi">
            <w:r>
              <w:rPr>
                <w:color w:val="000000"/>
                <w:sz w:val="22"/>
                <w:szCs w:val="22"/>
              </w:rPr>
              <w:t>9.4 Develop Regulatory and Auditor Education Resources on Monitoring Maturity</w:t>
            </w:r>
            <w:r>
              <w:rPr>
                <w:color w:val="000000"/>
                <w:sz w:val="22"/>
                <w:szCs w:val="22"/>
              </w:rPr>
              <w:tab/>
            </w:r>
            <w:r>
              <w:rPr>
                <w:color w:val="000000"/>
                <w:sz w:val="22"/>
                <w:szCs w:val="22"/>
              </w:rPr>
              <w:t>20</w:t>
            </w:r>
          </w:hyperlink>
        </w:p>
        <w:p w:rsidR="00382EDF" w:rsidRDefault="005B5EF1" w14:paraId="123E3E7E" w14:textId="77777777">
          <w:pPr>
            <w:widowControl w:val="0"/>
            <w:tabs>
              <w:tab w:val="right" w:pos="12000"/>
            </w:tabs>
            <w:spacing w:before="60" w:after="0"/>
            <w:ind w:left="360"/>
            <w:rPr>
              <w:color w:val="000000"/>
              <w:sz w:val="22"/>
              <w:szCs w:val="22"/>
            </w:rPr>
          </w:pPr>
          <w:hyperlink w:anchor="_heading=h.g797jhvg53r0">
            <w:r>
              <w:rPr>
                <w:color w:val="000000"/>
                <w:sz w:val="22"/>
                <w:szCs w:val="22"/>
              </w:rPr>
              <w:t>9.5 Promote Proportionate Investment Guidance for Processors</w:t>
            </w:r>
            <w:r>
              <w:rPr>
                <w:color w:val="000000"/>
                <w:sz w:val="22"/>
                <w:szCs w:val="22"/>
              </w:rPr>
              <w:tab/>
            </w:r>
            <w:r>
              <w:rPr>
                <w:color w:val="000000"/>
                <w:sz w:val="22"/>
                <w:szCs w:val="22"/>
              </w:rPr>
              <w:t>20</w:t>
            </w:r>
          </w:hyperlink>
        </w:p>
        <w:p w:rsidR="00382EDF" w:rsidRDefault="005B5EF1" w14:paraId="123E3E7F" w14:textId="77777777">
          <w:pPr>
            <w:widowControl w:val="0"/>
            <w:tabs>
              <w:tab w:val="right" w:pos="12000"/>
            </w:tabs>
            <w:spacing w:before="60" w:after="0"/>
            <w:rPr>
              <w:b/>
              <w:bCs/>
              <w:color w:val="000000"/>
              <w:sz w:val="22"/>
              <w:szCs w:val="22"/>
            </w:rPr>
          </w:pPr>
          <w:hyperlink w:anchor="_heading=h.bzhcgtkl0uw0">
            <w:r>
              <w:rPr>
                <w:b/>
                <w:bCs/>
                <w:color w:val="005575"/>
                <w:sz w:val="24"/>
                <w:szCs w:val="24"/>
              </w:rPr>
              <w:t>10.0 Project outputs</w:t>
            </w:r>
            <w:r>
              <w:rPr>
                <w:b/>
                <w:bCs/>
                <w:color w:val="005575"/>
                <w:sz w:val="24"/>
                <w:szCs w:val="24"/>
              </w:rPr>
              <w:tab/>
            </w:r>
            <w:r>
              <w:rPr>
                <w:b/>
                <w:bCs/>
                <w:color w:val="005575"/>
                <w:sz w:val="24"/>
                <w:szCs w:val="24"/>
              </w:rPr>
              <w:t>20</w:t>
            </w:r>
          </w:hyperlink>
          <w:r>
            <w:fldChar w:fldCharType="end"/>
          </w:r>
        </w:p>
      </w:sdtContent>
    </w:sdt>
    <w:p w:rsidR="00382EDF" w:rsidRDefault="005B5EF1" w14:paraId="123E3E80" w14:textId="77777777">
      <w:pPr>
        <w:spacing w:before="240" w:after="0"/>
      </w:pPr>
      <w:r>
        <w:br w:type="page"/>
      </w:r>
    </w:p>
    <w:p w:rsidR="00382EDF" w:rsidRDefault="005B5EF1" w14:paraId="447D08DA" w14:textId="52E4A4EB">
      <w:pPr>
        <w:pStyle w:val="Heading1"/>
        <w:numPr>
          <w:ilvl w:val="0"/>
          <w:numId w:val="7"/>
        </w:numPr>
        <w:ind w:left="709" w:hanging="709"/>
        <w:rPr/>
      </w:pPr>
      <w:bookmarkStart w:name="_heading=h.hc8r9gt7vm6f" w:id="2"/>
      <w:bookmarkEnd w:id="2"/>
      <w:r w:rsidR="005B5EF1">
        <w:rPr/>
        <w:t xml:space="preserve">Abstract </w:t>
      </w:r>
      <w:r w:rsidR="3217DB3B">
        <w:rPr/>
        <w:t>This project evaluated the implementation of AI enabled CCTV monitoring in a multi species Australian abattoir processing calves, sheep, lambs, and goats. The objectives were to establish an integrated AI CCTV system, train species-specific models, measure defined welfare indicators, develop training tools, and assess data security risks associated with surveillance deployment.</w:t>
      </w:r>
    </w:p>
    <w:p w:rsidR="00382EDF" w:rsidP="2FAB49C0" w:rsidRDefault="005B5EF1" w14:textId="77777777" w14:paraId="78622F98">
      <w:pPr>
        <w:pStyle w:val="ListParagraph"/>
        <w:numPr>
          <w:ilvl w:val="0"/>
          <w:numId w:val="7"/>
        </w:numPr>
        <w:spacing w:before="240" w:after="240" w:line="276" w:lineRule="auto"/>
        <w:ind/>
        <w:rPr/>
      </w:pPr>
      <w:r w:rsidR="3217DB3B">
        <w:rPr/>
        <w:t>The system was installed across key handling and slaughter stages and integrated with electrical stunning data and additional sensor inputs. Early implementation revealed environmental and behavioural variability that limited fully automated detection in mixed small stock contexts. A hybrid monitoring model emerged, combining computer vision, structured manual event logging, sensor data, and defined Animal Welfare Officer oversight.</w:t>
      </w:r>
    </w:p>
    <w:p w:rsidR="00382EDF" w:rsidP="2FAB49C0" w:rsidRDefault="005B5EF1" w14:textId="77777777" w14:paraId="5E900B70">
      <w:pPr>
        <w:pStyle w:val="ListParagraph"/>
        <w:numPr>
          <w:ilvl w:val="0"/>
          <w:numId w:val="7"/>
        </w:numPr>
        <w:spacing w:before="240" w:after="240" w:line="276" w:lineRule="auto"/>
        <w:ind/>
        <w:rPr/>
      </w:pPr>
      <w:r w:rsidR="3217DB3B">
        <w:rPr/>
        <w:t>Longitudinal analysis demonstrated reductions in dropped carcasses, stabilisation of electrical stun performance, improved mortality tracking, and a decline in independently assessed welfare risk severity. The facility restored and maintained full AAWCS certification during the project period. Improvements were associated with infrastructure modification, structured corrective action processes, and workforce training in addition to AI deployment.</w:t>
      </w:r>
    </w:p>
    <w:p w:rsidR="00382EDF" w:rsidP="2FAB49C0" w:rsidRDefault="005B5EF1" w14:textId="77777777" w14:paraId="086492C1">
      <w:pPr>
        <w:pStyle w:val="ListParagraph"/>
        <w:numPr>
          <w:ilvl w:val="0"/>
          <w:numId w:val="7"/>
        </w:numPr>
        <w:spacing w:before="240" w:after="240" w:line="276" w:lineRule="auto"/>
        <w:ind/>
        <w:rPr/>
      </w:pPr>
      <w:r w:rsidR="3217DB3B">
        <w:rPr/>
        <w:t>A parallel data security review identified common industry vulnerabilities and produced guidance materials establishing baseline cybersecurity benchmarks for surveillance systems.</w:t>
      </w:r>
    </w:p>
    <w:p w:rsidR="00382EDF" w:rsidP="2FAB49C0" w:rsidRDefault="005B5EF1" w14:textId="77777777" w14:paraId="0B2435BC">
      <w:pPr>
        <w:pStyle w:val="ListParagraph"/>
        <w:numPr>
          <w:ilvl w:val="0"/>
          <w:numId w:val="7"/>
        </w:numPr>
        <w:spacing w:before="240" w:after="240" w:line="276" w:lineRule="auto"/>
        <w:ind/>
        <w:rPr/>
      </w:pPr>
      <w:r w:rsidR="3217DB3B">
        <w:rPr/>
        <w:t>The findings indicate that AI enabled monitoring strengthens visibility and documentation in multi species abattoirs but achieves sustained impact when integrated within structured governance and hybrid monitoring frameworks. The project provides practical evidence to inform proportionate industry adoption and future multi site research.</w:t>
      </w:r>
    </w:p>
    <w:p w:rsidR="00382EDF" w:rsidP="2FAB49C0" w:rsidRDefault="005B5EF1" w14:textId="77777777" w14:paraId="4749DBE5">
      <w:pPr>
        <w:pStyle w:val="Heading1"/>
        <w:numPr>
          <w:ilvl w:val="0"/>
          <w:numId w:val="7"/>
        </w:numPr>
        <w:ind/>
        <w:rPr/>
      </w:pPr>
      <w:r w:rsidR="3217DB3B">
        <w:rPr/>
        <w:t xml:space="preserve">Executive summary </w:t>
      </w:r>
    </w:p>
    <w:p w:rsidR="00382EDF" w:rsidP="2FAB49C0" w:rsidRDefault="005B5EF1" w14:textId="77777777" w14:paraId="55CAAB64">
      <w:pPr>
        <w:pStyle w:val="ListParagraph"/>
        <w:numPr>
          <w:ilvl w:val="0"/>
          <w:numId w:val="7"/>
        </w:numPr>
        <w:spacing w:before="240" w:after="240" w:line="276" w:lineRule="auto"/>
        <w:ind/>
        <w:rPr/>
      </w:pPr>
      <w:r w:rsidR="3217DB3B">
        <w:rPr/>
        <w:t>Project 2025-1079 examined the implementation of AI enabled CCTV monitoring within a multi species Australian abattoir processing calves, sheep, lambs, and goats. The project was undertaken in a live commercial environment operating under heightened regulatory scrutiny at commencement and experiencing operational disruption, including ownership transition, during the project period. The objectives were to establish a comprehensive AI CCTV system, train models across species classes, measure defined welfare indicators, develop training tools, produce a public facing case study, and establish benchmarks for data protection and cybersecurity.</w:t>
      </w:r>
    </w:p>
    <w:p w:rsidR="00382EDF" w:rsidP="2FAB49C0" w:rsidRDefault="005B5EF1" w14:textId="77777777" w14:paraId="0D78EE92">
      <w:pPr>
        <w:pStyle w:val="ListParagraph"/>
        <w:numPr>
          <w:ilvl w:val="0"/>
          <w:numId w:val="7"/>
        </w:numPr>
        <w:spacing w:before="240" w:after="240" w:line="276" w:lineRule="auto"/>
        <w:ind/>
        <w:rPr/>
      </w:pPr>
      <w:r w:rsidR="3217DB3B">
        <w:rPr/>
        <w:t>The AI enabled monitoring system was successfully installed and integrated across unloading, lairage, raceway, stunning, and bleed rail areas. Computer vision models were trained to detect defined visible welfare indicators and were progressively refined using site-specific footage. Integration with electrical stunning equipment (Carne Technologies) enabled capture of amperage and duration data for each stun cycle, which was correlated with CCTV review. Additional sensor inputs and a centralised incident registry were incorporated to strengthen data continuity.</w:t>
      </w:r>
    </w:p>
    <w:p w:rsidR="00382EDF" w:rsidP="2FAB49C0" w:rsidRDefault="005B5EF1" w14:textId="77777777" w14:paraId="7B28F270">
      <w:pPr>
        <w:pStyle w:val="ListParagraph"/>
        <w:numPr>
          <w:ilvl w:val="0"/>
          <w:numId w:val="7"/>
        </w:numPr>
        <w:spacing w:before="240" w:after="240" w:line="276" w:lineRule="auto"/>
        <w:ind/>
        <w:rPr/>
      </w:pPr>
      <w:r w:rsidR="3217DB3B">
        <w:rPr/>
        <w:t>Early implementation revealed technical constraints common to mixed small stock facilities, including behavioural variability across species, occlusion, lighting variation, and infrastructure complexity. As a result, the system evolved into a hybrid monitoring model combining AI detections, structured manual event logging, sensor data, and defined Animal Welfare Officer (AWO) oversight. This hybrid configuration proved more operationally stable and reliable than reliance on computer vision alone.</w:t>
      </w:r>
    </w:p>
    <w:p w:rsidR="00382EDF" w:rsidP="2FAB49C0" w:rsidRDefault="005B5EF1" w14:paraId="7EF5BED5" w14:textId="13D6BB0A">
      <w:pPr>
        <w:pStyle w:val="ListParagraph"/>
        <w:numPr>
          <w:ilvl w:val="0"/>
          <w:numId w:val="7"/>
        </w:numPr>
        <w:spacing w:before="240" w:after="240" w:line="276" w:lineRule="auto"/>
        <w:ind/>
        <w:rPr/>
      </w:pPr>
      <w:r w:rsidR="3217DB3B">
        <w:rPr/>
        <w:t>Longitudinal analysis during the project period demonstrated measurable improvements in defined welfare indicators. Dropped carcass frequency declined following infrastructure modification and chain speed adjustment. Electrical stunning performance stabilised, with population level success rates consistently exceeding 96% across analysed sample periods. Mortality (Dead on Arrival and Dead in Pen) tracking improved, supported by enhanced transport communication and drafting practices. Independent risk assessments showed a marked reduction in severity and number of required interventions over time. The facility restored and maintained full AAWCS certification during the latter stages of the project. The findings of this project indicate that while AI enabled monitoring strengthens continuous visibility and documentation capability, sustained welfare improvement depends on integration within structured governance systems, defined corrective action processes, infrastructure modification, and workforce training. Technology functioned as an enabling mechanism rather than a standalone solution.</w:t>
      </w:r>
    </w:p>
    <w:p w:rsidR="00382EDF" w:rsidP="2FAB49C0" w:rsidRDefault="005B5EF1" w14:textId="77777777" w14:paraId="43A77864">
      <w:pPr>
        <w:pStyle w:val="ListParagraph"/>
        <w:numPr>
          <w:ilvl w:val="0"/>
          <w:numId w:val="7"/>
        </w:numPr>
        <w:spacing w:before="240" w:after="240" w:line="276" w:lineRule="auto"/>
        <w:ind/>
        <w:rPr/>
      </w:pPr>
      <w:r w:rsidR="3217DB3B">
        <w:rPr/>
        <w:t>In parallel, a comprehensive data security and governance review was conducted. The review identified common sector vulnerabilities, including limited network segmentation, shared credentials, informal access controls, and absence of formal incident response frameworks. In response, the project produced industry-facing guidance materials, including a Meat Processor Surveillance Security Best Practice Checklist and an AI and Monitoring Industry Insight document. These outputs establish baseline benchmarks for responsible surveillance deployment within Australian meat processing facilities.</w:t>
      </w:r>
    </w:p>
    <w:p w:rsidR="00382EDF" w:rsidP="2FAB49C0" w:rsidRDefault="005B5EF1" w14:textId="77777777" w14:paraId="0FF44BA0">
      <w:pPr>
        <w:pStyle w:val="ListParagraph"/>
        <w:numPr>
          <w:ilvl w:val="0"/>
          <w:numId w:val="7"/>
        </w:numPr>
        <w:spacing w:before="240" w:after="240" w:line="276" w:lineRule="auto"/>
        <w:ind/>
        <w:rPr/>
      </w:pPr>
      <w:r w:rsidR="5B77CA2F">
        <w:rPr/>
        <w:t>Overall, the project confirms that AI-enabled CCTV systems can materially enhance welfare monitoring capability in multi species abattoirs when implemented within a hybrid, governance aligned framework. The results provide technical validation of system integration in a complex commercial setting and offer practical guidance for proportionate industry adoption, future multi-site validation studies, and coordinated multi-species AI research.</w:t>
      </w:r>
    </w:p>
    <w:p w:rsidR="00382EDF" w:rsidP="2FAB49C0" w:rsidRDefault="005B5EF1" w14:paraId="123E3E81" w14:textId="254CA1FD">
      <w:pPr>
        <w:pStyle w:val="Normal"/>
      </w:pPr>
    </w:p>
    <w:p w:rsidR="00382EDF" w:rsidRDefault="005B5EF1" w14:paraId="53C2CA51" w14:textId="10137675">
      <w:pPr>
        <w:pStyle w:val="Heading1"/>
        <w:numPr>
          <w:ilvl w:val="0"/>
          <w:numId w:val="7"/>
        </w:numPr>
        <w:ind w:left="709" w:hanging="709"/>
        <w:rPr/>
      </w:pPr>
      <w:bookmarkStart w:name="_heading=h.rgha94cseadi" w:id="4"/>
      <w:bookmarkEnd w:id="4"/>
      <w:r w:rsidR="005B5EF1">
        <w:rPr/>
        <w:t>Introduction</w:t>
      </w:r>
      <w:r w:rsidR="25E0C4B9">
        <w:rPr/>
        <w:t>Animal welfare monitoring in Australian red meat processing facilities is undergoing structural transition, regulatory reform, evolving certification standards, increasing public scrutiny, and customer driven assurance requirements are collectively reshaping expectations around transparency, documentation, and operational control within abattoirs. In particular, the staged introduction of mandatory CCTV under the Australian Animal Welfare Certification System (AAWCS) has accelerated the interest in, and adoption of surveillance technologies across the sector. While CCTV installation in export facilities is common, the effective integration of monitoring technologies into operational decision making remains highly variable.</w:t>
      </w:r>
    </w:p>
    <w:p w:rsidR="00382EDF" w:rsidP="2FAB49C0" w:rsidRDefault="005B5EF1" w14:paraId="02169E5B" w14:textId="46801CBD">
      <w:pPr>
        <w:pStyle w:val="ListParagraph"/>
        <w:numPr>
          <w:ilvl w:val="0"/>
          <w:numId w:val="7"/>
        </w:numPr>
        <w:spacing w:before="240" w:after="240" w:line="276" w:lineRule="auto"/>
        <w:ind/>
        <w:rPr/>
      </w:pPr>
      <w:r w:rsidR="25E0C4B9">
        <w:rPr/>
        <w:t>Historically, animal welfare monitoring within abattoirs has relied on a combination of periodic manual audits, paper-based record keeping, supervisory oversight, and regulatory inspection. These systems, while often compliant, are inherently episodic and dependent on individual capability, documentation quality, and retrospective interpretation. The introduction of digital monitoring systems, particularly those incorporating artificial intelligence (AI), computer vision, and sensor based instrumentation, offers the potential for more continuous, objective, and structured data collection. However, technology alone does not guarantee improved welfare outcomes. Its value depends on the organisational systems within which it operates, including leadership alignment, training, corrective action processes, and data governance.</w:t>
      </w:r>
    </w:p>
    <w:p w:rsidR="00382EDF" w:rsidP="2FAB49C0" w:rsidRDefault="005B5EF1" w14:textId="77777777" w14:paraId="1618D97E">
      <w:pPr>
        <w:pStyle w:val="ListParagraph"/>
        <w:numPr>
          <w:ilvl w:val="0"/>
          <w:numId w:val="7"/>
        </w:numPr>
        <w:spacing w:before="240" w:after="240" w:line="276" w:lineRule="auto"/>
        <w:ind/>
        <w:rPr/>
      </w:pPr>
      <w:r w:rsidR="25E0C4B9">
        <w:rPr/>
        <w:t>Project 2025-1079, “Animal welfare monitoring in multi-species abattoirs using AI and CCTV,” was initiated to examine the implementation of AI enabled CCTV technology within a complex, mixed small stock processing environment. The project focused on calves, sheep, lambs, and goats, species that present behavioural variability, handling differences, and infrastructure challenges that complicate automated detection systems. Small-stock facilities, particularly those processing multiple species within shared infrastructure, represent a more technically demanding context for computer vision systems than single species or large stock operations.</w:t>
      </w:r>
    </w:p>
    <w:p w:rsidR="00382EDF" w:rsidP="2FAB49C0" w:rsidRDefault="005B5EF1" w14:textId="77777777" w14:paraId="69B3543B">
      <w:pPr>
        <w:pStyle w:val="ListParagraph"/>
        <w:numPr>
          <w:ilvl w:val="0"/>
          <w:numId w:val="7"/>
        </w:numPr>
        <w:spacing w:before="240" w:after="240" w:line="276" w:lineRule="auto"/>
        <w:ind/>
        <w:rPr/>
      </w:pPr>
      <w:r w:rsidR="25E0C4B9">
        <w:rPr/>
        <w:t>The project was undertaken in a facility operating under heightened regulatory scrutiny at commencement. During the project period, the business experienced significant operational disruption, including management transition and ownership change. These contextual factors materially influenced both the implementation process and the interpretation of results. Rather than operating in a controlled research environment, the system was deployed in a live commercial facility undergoing structural reform. While this introduced limitations in establishing clean baseline datasets, it provided a rare opportunity to evaluate how monitoring technologies interact with real world governance, workforce capability, and cultural dynamics.</w:t>
      </w:r>
    </w:p>
    <w:p w:rsidR="00382EDF" w:rsidP="2FAB49C0" w:rsidRDefault="005B5EF1" w14:textId="77777777" w14:paraId="6CD7C88B">
      <w:pPr>
        <w:pStyle w:val="ListParagraph"/>
        <w:numPr>
          <w:ilvl w:val="0"/>
          <w:numId w:val="7"/>
        </w:numPr>
        <w:spacing w:before="240" w:after="240" w:line="276" w:lineRule="auto"/>
        <w:ind/>
        <w:rPr/>
      </w:pPr>
      <w:r w:rsidR="25E0C4B9">
        <w:rPr/>
        <w:t>The AI enabled monitoring system installed during this project combined several elements:</w:t>
      </w:r>
    </w:p>
    <w:p w:rsidR="00382EDF" w:rsidP="2FAB49C0" w:rsidRDefault="005B5EF1" w14:textId="77777777" w14:paraId="13C67797">
      <w:pPr>
        <w:pStyle w:val="ListParagraph"/>
        <w:numPr>
          <w:ilvl w:val="0"/>
          <w:numId w:val="7"/>
        </w:numPr>
        <w:spacing w:before="240" w:after="0" w:line="276" w:lineRule="auto"/>
        <w:ind/>
        <w:rPr/>
      </w:pPr>
      <w:r w:rsidR="25E0C4B9">
        <w:rPr/>
        <w:t>CCTV based computer vision detections;</w:t>
      </w:r>
    </w:p>
    <w:p w:rsidR="00382EDF" w:rsidP="2FAB49C0" w:rsidRDefault="005B5EF1" w14:textId="77777777" w14:paraId="70880C23">
      <w:pPr>
        <w:pStyle w:val="ListParagraph"/>
        <w:numPr>
          <w:ilvl w:val="0"/>
          <w:numId w:val="7"/>
        </w:numPr>
        <w:spacing w:after="0" w:line="276" w:lineRule="auto"/>
        <w:ind/>
        <w:rPr/>
      </w:pPr>
      <w:r w:rsidR="25E0C4B9">
        <w:rPr/>
        <w:t>Integration with electrical stunning equipment data (Carne Technologies);</w:t>
      </w:r>
    </w:p>
    <w:p w:rsidR="00382EDF" w:rsidP="2FAB49C0" w:rsidRDefault="005B5EF1" w14:textId="77777777" w14:paraId="50C2BF87">
      <w:pPr>
        <w:pStyle w:val="ListParagraph"/>
        <w:numPr>
          <w:ilvl w:val="0"/>
          <w:numId w:val="7"/>
        </w:numPr>
        <w:spacing w:after="0" w:line="276" w:lineRule="auto"/>
        <w:ind/>
        <w:rPr/>
      </w:pPr>
      <w:r w:rsidR="25E0C4B9">
        <w:rPr/>
        <w:t>Additional sensor inputs (including captive bolt activation monitoring);</w:t>
      </w:r>
    </w:p>
    <w:p w:rsidR="00382EDF" w:rsidP="2FAB49C0" w:rsidRDefault="005B5EF1" w14:textId="77777777" w14:paraId="3D2AA35B">
      <w:pPr>
        <w:pStyle w:val="ListParagraph"/>
        <w:numPr>
          <w:ilvl w:val="0"/>
          <w:numId w:val="7"/>
        </w:numPr>
        <w:spacing w:after="0" w:line="276" w:lineRule="auto"/>
        <w:ind/>
        <w:rPr/>
      </w:pPr>
      <w:r w:rsidR="25E0C4B9">
        <w:rPr/>
        <w:t>Manual event logging through structured key performance indicators (KPIs);</w:t>
      </w:r>
    </w:p>
    <w:p w:rsidR="00382EDF" w:rsidP="2FAB49C0" w:rsidRDefault="005B5EF1" w14:textId="77777777" w14:paraId="56A299E4">
      <w:pPr>
        <w:pStyle w:val="ListParagraph"/>
        <w:numPr>
          <w:ilvl w:val="0"/>
          <w:numId w:val="7"/>
        </w:numPr>
        <w:spacing w:after="0" w:line="276" w:lineRule="auto"/>
        <w:ind/>
        <w:rPr/>
      </w:pPr>
      <w:r w:rsidR="25E0C4B9">
        <w:rPr/>
        <w:t>A centralised incident registry and dashboard;</w:t>
      </w:r>
    </w:p>
    <w:p w:rsidR="00382EDF" w:rsidP="2FAB49C0" w:rsidRDefault="005B5EF1" w14:textId="77777777" w14:paraId="3B7D378F">
      <w:pPr>
        <w:pStyle w:val="ListParagraph"/>
        <w:numPr>
          <w:ilvl w:val="0"/>
          <w:numId w:val="7"/>
        </w:numPr>
        <w:spacing w:after="240" w:line="276" w:lineRule="auto"/>
        <w:ind/>
        <w:rPr/>
      </w:pPr>
      <w:r w:rsidR="25E0C4B9">
        <w:rPr/>
        <w:t>Training tools including anatomical models, stun testing heads, and physical and video based learning modules.</w:t>
      </w:r>
    </w:p>
    <w:p w:rsidR="00382EDF" w:rsidP="2FAB49C0" w:rsidRDefault="005B5EF1" w14:textId="77777777" w14:paraId="1BEF2BB8">
      <w:pPr>
        <w:pStyle w:val="ListParagraph"/>
        <w:numPr>
          <w:ilvl w:val="0"/>
          <w:numId w:val="7"/>
        </w:numPr>
        <w:spacing w:before="240" w:after="240" w:line="276" w:lineRule="auto"/>
        <w:ind/>
        <w:rPr/>
      </w:pPr>
      <w:r w:rsidR="25E0C4B9">
        <w:rPr/>
        <w:t>A hybrid monitoring model emerged during implementation, combining automated detections with structured manual data capture and Animal Welfare Officer (AWO) oversight. This hybrid approach was not originally specified as the primary design intent but proved necessary given environmental variability, species differences, and the limitations of early stage AI vision models in visually complex processing environments.</w:t>
      </w:r>
    </w:p>
    <w:p w:rsidR="00382EDF" w:rsidP="2FAB49C0" w:rsidRDefault="005B5EF1" w14:textId="77777777" w14:paraId="5343D68E">
      <w:pPr>
        <w:pStyle w:val="ListParagraph"/>
        <w:numPr>
          <w:ilvl w:val="0"/>
          <w:numId w:val="7"/>
        </w:numPr>
        <w:spacing w:before="240" w:after="240" w:line="276" w:lineRule="auto"/>
        <w:ind/>
        <w:rPr/>
      </w:pPr>
      <w:r w:rsidR="25E0C4B9">
        <w:rPr/>
        <w:t>Parallel to welfare monitoring objectives, the project incorporated a comprehensive data security and governance review. As surveillance and AI systems generate increasing volumes of sensitive operational data, questions of network architecture, access control, retention management, insider tampering risk, and regulatory interpretation become critical. The sector has historically demonstrated conservative IT practices, and cybersecurity maturity within meat processing facilities varies widely. Accordingly, this project produced industry facing guidance documents addressing surveillance system security and responsible AI deployment. These outputs form part of the broader project contribution to industry capability development.</w:t>
      </w:r>
    </w:p>
    <w:p w:rsidR="00382EDF" w:rsidP="2FAB49C0" w:rsidRDefault="005B5EF1" w14:textId="77777777" w14:paraId="1D6D1AE8">
      <w:pPr>
        <w:pStyle w:val="ListParagraph"/>
        <w:numPr>
          <w:ilvl w:val="0"/>
          <w:numId w:val="7"/>
        </w:numPr>
        <w:spacing w:before="240" w:after="240" w:line="276" w:lineRule="auto"/>
        <w:ind/>
        <w:rPr/>
      </w:pPr>
      <w:r w:rsidR="25E0C4B9">
        <w:rPr/>
        <w:t>Importantly, this project did not seek to demonstrate that AI systems can replace human oversight, nor that automation is necessary for regulatory compliance. Instead, it examined where monitoring technologies sit within a broader operational maturity journey. Contemporary monitoring systems within abattoirs typically operate at an indicative level which supports visibility, documentation, and trend analysis. Rather than providing fully assured, regulatory equivalent detection. Understanding this distinction is essential for proportionate investment and realistic expectation setting within the industry.</w:t>
      </w:r>
    </w:p>
    <w:p w:rsidR="00382EDF" w:rsidP="2FAB49C0" w:rsidRDefault="005B5EF1" w14:textId="77777777" w14:paraId="183282E9">
      <w:pPr>
        <w:pStyle w:val="ListParagraph"/>
        <w:numPr>
          <w:ilvl w:val="0"/>
          <w:numId w:val="7"/>
        </w:numPr>
        <w:spacing w:before="240" w:after="240" w:line="276" w:lineRule="auto"/>
        <w:ind/>
        <w:rPr/>
      </w:pPr>
      <w:r w:rsidR="25E0C4B9">
        <w:rPr/>
        <w:t>During the latter stages of the project, an independent Operational Assurance Discovery Report was conducted at the facility. While separate from the formal project milestones, this discovery exercise provided contextual insight into governance coherence, competence resilience, evidence traceability, and cross department alignment. The findings reinforced a central observation of this research: monitoring technologies strengthen visibility and documentation, but sustained welfare improvement depends equally on leadership consistency, role clarity, competence verification, and effective corrective action systems. The Discovery Report will be appended to the confidential version of this Final Report for reference.</w:t>
      </w:r>
    </w:p>
    <w:p w:rsidR="00382EDF" w:rsidP="2FAB49C0" w:rsidRDefault="005B5EF1" w14:textId="77777777" w14:paraId="0CF5C581">
      <w:pPr>
        <w:pStyle w:val="ListParagraph"/>
        <w:numPr>
          <w:ilvl w:val="0"/>
          <w:numId w:val="7"/>
        </w:numPr>
        <w:spacing w:before="240" w:after="240" w:line="276" w:lineRule="auto"/>
        <w:ind/>
        <w:rPr/>
      </w:pPr>
      <w:r w:rsidR="25E0C4B9">
        <w:rPr/>
        <w:t>By the conclusion of the project period, the facility had restored full AAWCS certification and demonstrated measurable reductions in identified welfare risks. However, the pathway to this outcome involved more than system installation. It included structured manual KPI adoption, workforce training, infrastructure modification, governance stabilisation, and ownership transition. The project therefore provides not only technical insight into AI enabled monitoring but also practical evidence of how technology interacts with organisational reform in high scrutiny environments.</w:t>
      </w:r>
    </w:p>
    <w:p w:rsidR="00382EDF" w:rsidP="2FAB49C0" w:rsidRDefault="005B5EF1" w14:textId="77777777" w14:paraId="68043827">
      <w:pPr>
        <w:pStyle w:val="ListParagraph"/>
        <w:numPr>
          <w:ilvl w:val="0"/>
          <w:numId w:val="7"/>
        </w:numPr>
        <w:spacing w:before="240" w:after="240" w:line="276" w:lineRule="auto"/>
        <w:ind/>
        <w:rPr/>
      </w:pPr>
      <w:r w:rsidR="25E0C4B9">
        <w:rPr/>
        <w:t>This Final Report presents:</w:t>
      </w:r>
    </w:p>
    <w:p w:rsidR="00382EDF" w:rsidP="2FAB49C0" w:rsidRDefault="005B5EF1" w14:textId="77777777" w14:paraId="108923C1">
      <w:pPr>
        <w:pStyle w:val="ListParagraph"/>
        <w:numPr>
          <w:ilvl w:val="0"/>
          <w:numId w:val="7"/>
        </w:numPr>
        <w:spacing w:before="240" w:after="0" w:line="276" w:lineRule="auto"/>
        <w:ind/>
        <w:rPr/>
      </w:pPr>
      <w:r w:rsidR="25E0C4B9">
        <w:rPr/>
        <w:t>The methodology used to implement and evaluate the AI-enabled monitoring system;</w:t>
      </w:r>
    </w:p>
    <w:p w:rsidR="00382EDF" w:rsidP="2FAB49C0" w:rsidRDefault="005B5EF1" w14:textId="77777777" w14:paraId="01916EDA">
      <w:pPr>
        <w:pStyle w:val="ListParagraph"/>
        <w:numPr>
          <w:ilvl w:val="0"/>
          <w:numId w:val="7"/>
        </w:numPr>
        <w:spacing w:after="0" w:line="276" w:lineRule="auto"/>
        <w:ind/>
        <w:rPr/>
      </w:pPr>
      <w:r w:rsidR="25E0C4B9">
        <w:rPr/>
        <w:t>Welfare data analysis and trend assessment across the project period;</w:t>
      </w:r>
    </w:p>
    <w:p w:rsidR="00382EDF" w:rsidP="2FAB49C0" w:rsidRDefault="005B5EF1" w14:textId="77777777" w14:paraId="35036D2F">
      <w:pPr>
        <w:pStyle w:val="ListParagraph"/>
        <w:numPr>
          <w:ilvl w:val="0"/>
          <w:numId w:val="7"/>
        </w:numPr>
        <w:spacing w:after="0" w:line="276" w:lineRule="auto"/>
        <w:ind/>
        <w:rPr/>
      </w:pPr>
      <w:r w:rsidR="25E0C4B9">
        <w:rPr/>
        <w:t>Technical and operational findings regarding hybrid monitoring models;</w:t>
      </w:r>
    </w:p>
    <w:p w:rsidR="00382EDF" w:rsidP="2FAB49C0" w:rsidRDefault="005B5EF1" w14:textId="77777777" w14:paraId="518465D0">
      <w:pPr>
        <w:pStyle w:val="ListParagraph"/>
        <w:numPr>
          <w:ilvl w:val="0"/>
          <w:numId w:val="7"/>
        </w:numPr>
        <w:spacing w:after="0" w:line="276" w:lineRule="auto"/>
        <w:ind/>
        <w:rPr/>
      </w:pPr>
      <w:r w:rsidR="25E0C4B9">
        <w:rPr/>
        <w:t>A data security and governance review relevant to surveillance and AI deployment;</w:t>
      </w:r>
    </w:p>
    <w:p w:rsidR="00382EDF" w:rsidP="2FAB49C0" w:rsidRDefault="005B5EF1" w14:textId="77777777" w14:paraId="7C6432D0">
      <w:pPr>
        <w:pStyle w:val="ListParagraph"/>
        <w:numPr>
          <w:ilvl w:val="0"/>
          <w:numId w:val="7"/>
        </w:numPr>
        <w:spacing w:after="240" w:line="276" w:lineRule="auto"/>
        <w:ind/>
        <w:rPr/>
      </w:pPr>
      <w:r w:rsidR="25E0C4B9">
        <w:rPr/>
        <w:t>Practical recommendations for proportionate industry adoption of monitoring technologies in multi-species facilities.</w:t>
      </w:r>
    </w:p>
    <w:p w:rsidR="00382EDF" w:rsidP="2FAB49C0" w:rsidRDefault="005B5EF1" w14:textId="77777777" w14:paraId="5255B8FB">
      <w:pPr>
        <w:pStyle w:val="ListParagraph"/>
        <w:numPr>
          <w:ilvl w:val="0"/>
          <w:numId w:val="7"/>
        </w:numPr>
        <w:spacing w:before="240" w:after="240" w:line="276" w:lineRule="auto"/>
        <w:ind/>
        <w:rPr/>
      </w:pPr>
      <w:r w:rsidR="25E0C4B9">
        <w:rPr/>
        <w:t>The findings contribute to both research knowledge and practical industry guidance. They clarify the capabilities and limitations of current AI monitoring systems in complex abattoir environments and provide a structured foundation for future research, capability building, and sector-wide standard development.</w:t>
      </w:r>
    </w:p>
    <w:p w:rsidR="00382EDF" w:rsidP="2FAB49C0" w:rsidRDefault="005B5EF1" w14:paraId="123E3E8F" w14:textId="0B1F85C2">
      <w:pPr>
        <w:pStyle w:val="Normal"/>
      </w:pPr>
    </w:p>
    <w:p w:rsidR="00382EDF" w:rsidRDefault="005B5EF1" w14:paraId="123E3EA7" w14:textId="77777777">
      <w:pPr>
        <w:pStyle w:val="Heading1"/>
        <w:numPr>
          <w:ilvl w:val="0"/>
          <w:numId w:val="7"/>
        </w:numPr>
        <w:ind w:left="709" w:hanging="709"/>
      </w:pPr>
      <w:bookmarkStart w:name="_heading=h.t3uf9zi1x9" w:colFirst="0" w:colLast="0" w:id="5"/>
      <w:bookmarkEnd w:id="5"/>
      <w:r>
        <w:t>Project objectives</w:t>
      </w:r>
    </w:p>
    <w:p w:rsidR="00382EDF" w:rsidRDefault="005B5EF1" w14:paraId="123E3EA8" w14:textId="77777777">
      <w:pPr>
        <w:spacing w:after="160" w:line="276" w:lineRule="auto"/>
      </w:pPr>
      <w:r>
        <w:t>The objectives of this project are to:</w:t>
      </w:r>
    </w:p>
    <w:p w:rsidR="00382EDF" w:rsidRDefault="005B5EF1" w14:paraId="123E3EA9" w14:textId="77777777">
      <w:pPr>
        <w:numPr>
          <w:ilvl w:val="0"/>
          <w:numId w:val="6"/>
        </w:numPr>
        <w:spacing w:after="0" w:line="276" w:lineRule="auto"/>
      </w:pPr>
      <w:r>
        <w:t xml:space="preserve">Establish a comprehensive AI and CCTV system for real-time animal welfare monitoring at a plant. </w:t>
      </w:r>
    </w:p>
    <w:p w:rsidR="00382EDF" w:rsidRDefault="005B5EF1" w14:paraId="123E3EAA" w14:textId="77777777">
      <w:pPr>
        <w:numPr>
          <w:ilvl w:val="0"/>
          <w:numId w:val="6"/>
        </w:numPr>
        <w:spacing w:after="0" w:line="276" w:lineRule="auto"/>
      </w:pPr>
      <w:r>
        <w:t>Train the AI system for use in calves, sheep, lambs, and goats.</w:t>
      </w:r>
    </w:p>
    <w:p w:rsidR="00382EDF" w:rsidRDefault="005B5EF1" w14:paraId="123E3EAB" w14:textId="77777777">
      <w:pPr>
        <w:numPr>
          <w:ilvl w:val="0"/>
          <w:numId w:val="6"/>
        </w:numPr>
        <w:spacing w:after="0" w:line="276" w:lineRule="auto"/>
      </w:pPr>
      <w:r>
        <w:t>Measure key welfare indicators (animal behaviour, compliance with slaughter protocols, handling) across calves, sheep, lambs, and goats.</w:t>
      </w:r>
    </w:p>
    <w:p w:rsidR="00382EDF" w:rsidRDefault="005B5EF1" w14:paraId="123E3EAC" w14:textId="77777777">
      <w:pPr>
        <w:numPr>
          <w:ilvl w:val="0"/>
          <w:numId w:val="6"/>
        </w:numPr>
        <w:spacing w:after="0" w:line="276" w:lineRule="auto"/>
      </w:pPr>
      <w:r>
        <w:t>Build a public-facing case study demonstrating how objective measures can transform business culture and public perception.</w:t>
      </w:r>
    </w:p>
    <w:p w:rsidR="00382EDF" w:rsidRDefault="005B5EF1" w14:paraId="123E3EAD" w14:textId="77777777">
      <w:pPr>
        <w:numPr>
          <w:ilvl w:val="0"/>
          <w:numId w:val="6"/>
        </w:numPr>
        <w:spacing w:after="0" w:line="276" w:lineRule="auto"/>
      </w:pPr>
      <w:r>
        <w:t xml:space="preserve">Develop/implement training aids that are specific to the needs of the </w:t>
      </w:r>
      <w:proofErr w:type="gramStart"/>
      <w:r>
        <w:t>businesses</w:t>
      </w:r>
      <w:proofErr w:type="gramEnd"/>
      <w:r>
        <w:t xml:space="preserve"> risks (to be available for other businesses to use).</w:t>
      </w:r>
    </w:p>
    <w:p w:rsidR="00382EDF" w:rsidRDefault="005B5EF1" w14:paraId="123E3EAE" w14:textId="77777777">
      <w:pPr>
        <w:numPr>
          <w:ilvl w:val="0"/>
          <w:numId w:val="6"/>
        </w:numPr>
        <w:spacing w:after="0" w:line="276" w:lineRule="auto"/>
      </w:pPr>
      <w:r>
        <w:t>Set industry benchmarks for data protection and cybersecurity, ensuring AI and CCTV data are secure from hacking risks.</w:t>
      </w:r>
    </w:p>
    <w:p w:rsidR="00382EDF" w:rsidRDefault="005B5EF1" w14:paraId="123E3EAF" w14:textId="77777777">
      <w:pPr>
        <w:pStyle w:val="Heading1"/>
        <w:numPr>
          <w:ilvl w:val="0"/>
          <w:numId w:val="7"/>
        </w:numPr>
        <w:ind w:left="709" w:hanging="709"/>
      </w:pPr>
      <w:bookmarkStart w:name="_heading=h.iji1lgmvujkj" w:colFirst="0" w:colLast="0" w:id="6"/>
      <w:bookmarkEnd w:id="6"/>
      <w:r>
        <w:t>Methodology</w:t>
      </w:r>
    </w:p>
    <w:p w:rsidR="00382EDF" w:rsidRDefault="005B5EF1" w14:paraId="123E3EB0" w14:textId="77777777">
      <w:pPr>
        <w:pStyle w:val="Heading2"/>
        <w:keepNext w:val="0"/>
        <w:keepLines w:val="0"/>
      </w:pPr>
      <w:bookmarkStart w:name="_heading=h.9tn3cjkzwg9t" w:colFirst="0" w:colLast="0" w:id="7"/>
      <w:bookmarkEnd w:id="7"/>
      <w:r>
        <w:t>5.1 Overview</w:t>
      </w:r>
    </w:p>
    <w:p w:rsidR="00382EDF" w:rsidRDefault="005B5EF1" w14:paraId="123E3EB1" w14:textId="77777777">
      <w:pPr>
        <w:spacing w:before="240" w:after="240" w:line="276" w:lineRule="auto"/>
      </w:pPr>
      <w:r>
        <w:t>The methodology for Project 2025-1079 was designed to operationalise the installation, training, validation, and evaluation of an AI enabled CCTV monitoring system within a live, multi species commercial abattoir. The project was implemented in five structured phases, aligned to the contractual milestones, while remaining adaptive to operational realities at the processing site.</w:t>
      </w:r>
    </w:p>
    <w:p w:rsidR="00382EDF" w:rsidRDefault="005B5EF1" w14:paraId="123E3EB2" w14:textId="77777777">
      <w:pPr>
        <w:spacing w:before="240" w:after="240" w:line="276" w:lineRule="auto"/>
      </w:pPr>
      <w:r>
        <w:t>The methodology incorporated both technical system deployment and organisational integration components. This dual focus was necessary because the objectives of the project extended beyond software performance to include measurable welfare trend analysis, development of training tools, case study preparation, and establishment of industry benchmarks for data protection and cybersecurity.</w:t>
      </w:r>
    </w:p>
    <w:p w:rsidR="00382EDF" w:rsidRDefault="005B5EF1" w14:paraId="123E3EB3" w14:textId="77777777">
      <w:pPr>
        <w:spacing w:before="240" w:after="240" w:line="276" w:lineRule="auto"/>
      </w:pPr>
      <w:r>
        <w:t>The methodological approach combined:</w:t>
      </w:r>
    </w:p>
    <w:p w:rsidR="00382EDF" w:rsidRDefault="005B5EF1" w14:paraId="123E3EB4" w14:textId="77777777">
      <w:pPr>
        <w:numPr>
          <w:ilvl w:val="0"/>
          <w:numId w:val="3"/>
        </w:numPr>
        <w:spacing w:before="240" w:after="0" w:line="276" w:lineRule="auto"/>
      </w:pPr>
      <w:r>
        <w:t>Technology installation and integration</w:t>
      </w:r>
    </w:p>
    <w:p w:rsidR="00382EDF" w:rsidRDefault="005B5EF1" w14:paraId="123E3EB5" w14:textId="77777777">
      <w:pPr>
        <w:numPr>
          <w:ilvl w:val="0"/>
          <w:numId w:val="3"/>
        </w:numPr>
        <w:spacing w:after="0" w:line="276" w:lineRule="auto"/>
      </w:pPr>
      <w:r>
        <w:t>AI model training and validation</w:t>
      </w:r>
    </w:p>
    <w:p w:rsidR="00382EDF" w:rsidRDefault="005B5EF1" w14:paraId="123E3EB6" w14:textId="77777777">
      <w:pPr>
        <w:numPr>
          <w:ilvl w:val="0"/>
          <w:numId w:val="3"/>
        </w:numPr>
        <w:spacing w:after="0" w:line="276" w:lineRule="auto"/>
      </w:pPr>
      <w:r>
        <w:t>Manual data capture for ground-truthing</w:t>
      </w:r>
    </w:p>
    <w:p w:rsidR="00382EDF" w:rsidRDefault="005B5EF1" w14:paraId="123E3EB7" w14:textId="77777777">
      <w:pPr>
        <w:numPr>
          <w:ilvl w:val="0"/>
          <w:numId w:val="3"/>
        </w:numPr>
        <w:spacing w:after="0" w:line="276" w:lineRule="auto"/>
      </w:pPr>
      <w:r>
        <w:t>Sensor and equipment data integration</w:t>
      </w:r>
    </w:p>
    <w:p w:rsidR="00382EDF" w:rsidRDefault="005B5EF1" w14:paraId="123E3EB8" w14:textId="77777777">
      <w:pPr>
        <w:numPr>
          <w:ilvl w:val="0"/>
          <w:numId w:val="3"/>
        </w:numPr>
        <w:spacing w:after="0" w:line="276" w:lineRule="auto"/>
      </w:pPr>
      <w:r>
        <w:t>Welfare trend analysis</w:t>
      </w:r>
    </w:p>
    <w:p w:rsidR="00382EDF" w:rsidRDefault="005B5EF1" w14:paraId="123E3EB9" w14:textId="77777777">
      <w:pPr>
        <w:numPr>
          <w:ilvl w:val="0"/>
          <w:numId w:val="3"/>
        </w:numPr>
        <w:spacing w:after="0" w:line="276" w:lineRule="auto"/>
      </w:pPr>
      <w:r>
        <w:t>Structured risk assessment</w:t>
      </w:r>
    </w:p>
    <w:p w:rsidR="00382EDF" w:rsidRDefault="005B5EF1" w14:paraId="123E3EBA" w14:textId="77777777">
      <w:pPr>
        <w:numPr>
          <w:ilvl w:val="0"/>
          <w:numId w:val="3"/>
        </w:numPr>
        <w:spacing w:after="0" w:line="276" w:lineRule="auto"/>
      </w:pPr>
      <w:r>
        <w:t>Data security and governance review</w:t>
      </w:r>
    </w:p>
    <w:p w:rsidR="00382EDF" w:rsidRDefault="005B5EF1" w14:paraId="123E3EBB" w14:textId="77777777">
      <w:pPr>
        <w:numPr>
          <w:ilvl w:val="0"/>
          <w:numId w:val="3"/>
        </w:numPr>
        <w:spacing w:after="240" w:line="276" w:lineRule="auto"/>
      </w:pPr>
      <w:r>
        <w:t>Development of industry-facing guidance materials</w:t>
      </w:r>
    </w:p>
    <w:p w:rsidR="00382EDF" w:rsidRDefault="005B5EF1" w14:paraId="123E3EBC" w14:textId="77777777">
      <w:pPr>
        <w:spacing w:before="240" w:after="240" w:line="276" w:lineRule="auto"/>
      </w:pPr>
      <w:r>
        <w:t>Importantly, the project was conducted in a live commercial environment undergoing regulatory oversight and later ownership transition. As such, the methodology prioritised practical deployment feasibility and continuous system refinement rather than laboratory-style experimental control.</w:t>
      </w:r>
    </w:p>
    <w:p w:rsidR="00382EDF" w:rsidRDefault="005B5EF1" w14:paraId="123E3EBD" w14:textId="77777777">
      <w:pPr>
        <w:pStyle w:val="Heading2"/>
      </w:pPr>
      <w:bookmarkStart w:name="_heading=h.vtutl12v3meg" w:colFirst="0" w:colLast="0" w:id="8"/>
      <w:bookmarkEnd w:id="8"/>
      <w:r>
        <w:t>5.2 Project Phasing</w:t>
      </w:r>
    </w:p>
    <w:p w:rsidR="00382EDF" w:rsidRDefault="005B5EF1" w14:paraId="123E3EBE" w14:textId="77777777">
      <w:pPr>
        <w:spacing w:before="240" w:after="240" w:line="276" w:lineRule="auto"/>
      </w:pPr>
      <w:r>
        <w:t>The project followed five implementation phases.</w:t>
      </w:r>
    </w:p>
    <w:p w:rsidR="00382EDF" w:rsidRDefault="005B5EF1" w14:paraId="123E3EBF" w14:textId="77777777">
      <w:pPr>
        <w:pStyle w:val="Heading3"/>
      </w:pPr>
      <w:bookmarkStart w:name="_heading=h.bc0arsz7dqa3" w:colFirst="0" w:colLast="0" w:id="9"/>
      <w:bookmarkEnd w:id="9"/>
      <w:r>
        <w:t>Phase 1 – System Installation and Infrastructure Setup</w:t>
      </w:r>
    </w:p>
    <w:p w:rsidR="00382EDF" w:rsidRDefault="005B5EF1" w14:paraId="123E3EC0" w14:textId="77777777">
      <w:pPr>
        <w:spacing w:before="240" w:after="240" w:line="276" w:lineRule="auto"/>
      </w:pPr>
      <w:r>
        <w:t>AI-enabled CCTV systems were installed to cover key welfare risk points across handling and slaughter processes for calves, sheep, lambs, and goats.</w:t>
      </w:r>
    </w:p>
    <w:p w:rsidR="00382EDF" w:rsidRDefault="005B5EF1" w14:paraId="123E3EC1" w14:textId="77777777">
      <w:pPr>
        <w:spacing w:before="240" w:after="240" w:line="276" w:lineRule="auto"/>
      </w:pPr>
      <w:r>
        <w:t>Camera placement prioritised unloading ramps, lairage areas, raceway transitions, v-restraint entry, stunning areas, bleed rail. And the system architecture included on-premises server deployment, integration with existing CCTV infrastructure, controlled network configuration, and secure access management.</w:t>
      </w:r>
    </w:p>
    <w:p w:rsidR="00382EDF" w:rsidRDefault="005B5EF1" w14:paraId="123E3EC2" w14:textId="77777777">
      <w:pPr>
        <w:spacing w:before="240" w:after="240" w:line="276" w:lineRule="auto"/>
      </w:pPr>
      <w:r>
        <w:t xml:space="preserve">The deployment model followed an </w:t>
      </w:r>
      <w:proofErr w:type="gramStart"/>
      <w:r>
        <w:t>on premises</w:t>
      </w:r>
      <w:proofErr w:type="gramEnd"/>
      <w:r>
        <w:t xml:space="preserve"> architecture to align with industry preferences for local data control and to minimise reliance on external connectivity.</w:t>
      </w:r>
    </w:p>
    <w:p w:rsidR="00382EDF" w:rsidRDefault="005B5EF1" w14:paraId="123E3EC3" w14:textId="77777777">
      <w:pPr>
        <w:spacing w:before="240" w:after="240" w:line="276" w:lineRule="auto"/>
      </w:pPr>
      <w:r>
        <w:t xml:space="preserve">Additional cameras were installed in </w:t>
      </w:r>
      <w:proofErr w:type="gramStart"/>
      <w:r>
        <w:t>high risk</w:t>
      </w:r>
      <w:proofErr w:type="gramEnd"/>
      <w:r>
        <w:t xml:space="preserve"> areas as the project evolved, particularly in unloading and pre-stun zones where species variability created detection complexity.</w:t>
      </w:r>
    </w:p>
    <w:p w:rsidR="00382EDF" w:rsidRDefault="005B5EF1" w14:paraId="123E3EC4" w14:textId="77777777">
      <w:pPr>
        <w:pStyle w:val="Heading3"/>
      </w:pPr>
      <w:bookmarkStart w:name="_heading=h.qcv43m1bmr6m" w:colFirst="0" w:colLast="0" w:id="10"/>
      <w:bookmarkEnd w:id="10"/>
      <w:r>
        <w:t>Phase 2 – AI Model Training and Event Definition</w:t>
      </w:r>
    </w:p>
    <w:p w:rsidR="00382EDF" w:rsidRDefault="005B5EF1" w14:paraId="123E3EC5" w14:textId="77777777">
      <w:pPr>
        <w:spacing w:before="240" w:after="240" w:line="276" w:lineRule="auto"/>
      </w:pPr>
      <w:r>
        <w:t>AI models were trained to detect defined welfare indicators relevant to the project objectives. These included dropped carcasses, livestock counting, entry/exit transitions, captive bolt access events, electrical stun parameter events, and mortalities.</w:t>
      </w:r>
    </w:p>
    <w:p w:rsidR="00382EDF" w:rsidRDefault="005B5EF1" w14:paraId="123E3EC6" w14:textId="77777777">
      <w:pPr>
        <w:spacing w:before="240" w:after="240" w:line="276" w:lineRule="auto"/>
      </w:pPr>
      <w:r>
        <w:t>Computer vision models were trained using site specific footage. However, early deployment revealed variability challenges related to multi species behavioural differences, occlusion and crowding, lighting variability, and infrastructure layout constraints.</w:t>
      </w:r>
    </w:p>
    <w:p w:rsidR="00382EDF" w:rsidRDefault="005B5EF1" w14:paraId="123E3EC7" w14:textId="77777777">
      <w:pPr>
        <w:spacing w:before="240" w:after="240" w:line="276" w:lineRule="auto"/>
      </w:pPr>
      <w:r>
        <w:t>As a result, model refinement occurred iteratively, with progressive calibration based on manual verification and review by the Animal Welfare Officer (AWO).</w:t>
      </w:r>
    </w:p>
    <w:p w:rsidR="00382EDF" w:rsidRDefault="005B5EF1" w14:paraId="123E3EC8" w14:textId="77777777">
      <w:pPr>
        <w:spacing w:before="240" w:after="240" w:line="276" w:lineRule="auto"/>
      </w:pPr>
      <w:r>
        <w:t>Rather than relying solely on automated detections, a hybrid monitoring model was adopted, combining AI flags with structured manual data capture to improve reliability and create a defensible dataset for analysis.</w:t>
      </w:r>
    </w:p>
    <w:p w:rsidR="00382EDF" w:rsidRDefault="005B5EF1" w14:paraId="123E3EC9" w14:textId="77777777">
      <w:pPr>
        <w:pStyle w:val="Heading3"/>
      </w:pPr>
      <w:bookmarkStart w:name="_heading=h.vb70f6q3v71y" w:colFirst="0" w:colLast="0" w:id="11"/>
      <w:bookmarkEnd w:id="11"/>
      <w:r>
        <w:t>Phase 3a – Data Collection and Welfare Trend Analysis</w:t>
      </w:r>
    </w:p>
    <w:p w:rsidR="00382EDF" w:rsidRDefault="005B5EF1" w14:paraId="123E3ECA" w14:textId="77777777">
      <w:pPr>
        <w:spacing w:before="240" w:after="240" w:line="276" w:lineRule="auto"/>
      </w:pPr>
      <w:r>
        <w:t>Data collection incorporated multiple complementary inputs:</w:t>
      </w:r>
    </w:p>
    <w:tbl>
      <w:tblPr>
        <w:tblStyle w:val="aff0"/>
        <w:tblW w:w="9405" w:type="dxa"/>
        <w:tblBorders>
          <w:top w:val="nil"/>
          <w:left w:val="nil"/>
          <w:bottom w:val="nil"/>
          <w:right w:val="nil"/>
          <w:insideH w:val="nil"/>
          <w:insideV w:val="nil"/>
        </w:tblBorders>
        <w:tblLayout w:type="fixed"/>
        <w:tblLook w:val="0600" w:firstRow="0" w:lastRow="0" w:firstColumn="0" w:lastColumn="0" w:noHBand="1" w:noVBand="1"/>
      </w:tblPr>
      <w:tblGrid>
        <w:gridCol w:w="2675"/>
        <w:gridCol w:w="3620"/>
        <w:gridCol w:w="3110"/>
      </w:tblGrid>
      <w:tr w:rsidR="00382EDF" w14:paraId="123E3ECE" w14:textId="77777777">
        <w:trPr>
          <w:trHeight w:val="500"/>
        </w:trPr>
        <w:tc>
          <w:tcPr>
            <w:tcW w:w="2675" w:type="dxa"/>
            <w:tcBorders>
              <w:top w:val="nil"/>
              <w:left w:val="nil"/>
              <w:bottom w:val="nil"/>
              <w:right w:val="nil"/>
            </w:tcBorders>
            <w:tcMar>
              <w:top w:w="100" w:type="dxa"/>
              <w:left w:w="100" w:type="dxa"/>
              <w:bottom w:w="100" w:type="dxa"/>
              <w:right w:w="100" w:type="dxa"/>
            </w:tcMar>
          </w:tcPr>
          <w:p w:rsidR="00382EDF" w:rsidRDefault="005B5EF1" w14:paraId="123E3ECB" w14:textId="77777777">
            <w:pPr>
              <w:spacing w:after="0" w:line="276" w:lineRule="auto"/>
              <w:jc w:val="center"/>
            </w:pPr>
            <w:r>
              <w:rPr>
                <w:b/>
                <w:bCs/>
              </w:rPr>
              <w:t>Data Stream</w:t>
            </w:r>
          </w:p>
        </w:tc>
        <w:tc>
          <w:tcPr>
            <w:tcW w:w="3620" w:type="dxa"/>
            <w:tcBorders>
              <w:top w:val="nil"/>
              <w:left w:val="nil"/>
              <w:bottom w:val="nil"/>
              <w:right w:val="nil"/>
            </w:tcBorders>
            <w:tcMar>
              <w:top w:w="100" w:type="dxa"/>
              <w:left w:w="100" w:type="dxa"/>
              <w:bottom w:w="100" w:type="dxa"/>
              <w:right w:w="100" w:type="dxa"/>
            </w:tcMar>
          </w:tcPr>
          <w:p w:rsidR="00382EDF" w:rsidRDefault="005B5EF1" w14:paraId="123E3ECC" w14:textId="77777777">
            <w:pPr>
              <w:spacing w:after="0" w:line="276" w:lineRule="auto"/>
              <w:jc w:val="center"/>
            </w:pPr>
            <w:r>
              <w:rPr>
                <w:b/>
                <w:bCs/>
              </w:rPr>
              <w:t>Description</w:t>
            </w:r>
          </w:p>
        </w:tc>
        <w:tc>
          <w:tcPr>
            <w:tcW w:w="3110" w:type="dxa"/>
            <w:tcBorders>
              <w:top w:val="nil"/>
              <w:left w:val="nil"/>
              <w:bottom w:val="nil"/>
              <w:right w:val="nil"/>
            </w:tcBorders>
            <w:tcMar>
              <w:top w:w="100" w:type="dxa"/>
              <w:left w:w="100" w:type="dxa"/>
              <w:bottom w:w="100" w:type="dxa"/>
              <w:right w:w="100" w:type="dxa"/>
            </w:tcMar>
          </w:tcPr>
          <w:p w:rsidR="00382EDF" w:rsidRDefault="005B5EF1" w14:paraId="123E3ECD" w14:textId="77777777">
            <w:pPr>
              <w:spacing w:after="0" w:line="276" w:lineRule="auto"/>
              <w:jc w:val="center"/>
            </w:pPr>
            <w:r>
              <w:rPr>
                <w:b/>
                <w:bCs/>
              </w:rPr>
              <w:t>Role in Analysis</w:t>
            </w:r>
          </w:p>
        </w:tc>
      </w:tr>
      <w:tr w:rsidR="00382EDF" w14:paraId="123E3ED2" w14:textId="77777777">
        <w:trPr>
          <w:trHeight w:val="500"/>
        </w:trPr>
        <w:tc>
          <w:tcPr>
            <w:tcW w:w="2675" w:type="dxa"/>
            <w:tcBorders>
              <w:top w:val="nil"/>
              <w:left w:val="nil"/>
              <w:bottom w:val="nil"/>
              <w:right w:val="nil"/>
            </w:tcBorders>
            <w:tcMar>
              <w:top w:w="100" w:type="dxa"/>
              <w:left w:w="100" w:type="dxa"/>
              <w:bottom w:w="100" w:type="dxa"/>
              <w:right w:w="100" w:type="dxa"/>
            </w:tcMar>
          </w:tcPr>
          <w:p w:rsidR="00382EDF" w:rsidRDefault="005B5EF1" w14:paraId="123E3ECF" w14:textId="77777777">
            <w:pPr>
              <w:spacing w:after="0" w:line="276" w:lineRule="auto"/>
            </w:pPr>
            <w:r>
              <w:t>AI/CCTV detections</w:t>
            </w:r>
          </w:p>
        </w:tc>
        <w:tc>
          <w:tcPr>
            <w:tcW w:w="3620" w:type="dxa"/>
            <w:tcBorders>
              <w:top w:val="nil"/>
              <w:left w:val="nil"/>
              <w:bottom w:val="nil"/>
              <w:right w:val="nil"/>
            </w:tcBorders>
            <w:tcMar>
              <w:top w:w="100" w:type="dxa"/>
              <w:left w:w="100" w:type="dxa"/>
              <w:bottom w:w="100" w:type="dxa"/>
              <w:right w:w="100" w:type="dxa"/>
            </w:tcMar>
          </w:tcPr>
          <w:p w:rsidR="00382EDF" w:rsidRDefault="005B5EF1" w14:paraId="123E3ED0" w14:textId="77777777">
            <w:pPr>
              <w:spacing w:after="0" w:line="276" w:lineRule="auto"/>
            </w:pPr>
            <w:r>
              <w:t>Automated visual event flags</w:t>
            </w:r>
          </w:p>
        </w:tc>
        <w:tc>
          <w:tcPr>
            <w:tcW w:w="3110" w:type="dxa"/>
            <w:tcBorders>
              <w:top w:val="nil"/>
              <w:left w:val="nil"/>
              <w:bottom w:val="nil"/>
              <w:right w:val="nil"/>
            </w:tcBorders>
            <w:tcMar>
              <w:top w:w="100" w:type="dxa"/>
              <w:left w:w="100" w:type="dxa"/>
              <w:bottom w:w="100" w:type="dxa"/>
              <w:right w:w="100" w:type="dxa"/>
            </w:tcMar>
          </w:tcPr>
          <w:p w:rsidR="00382EDF" w:rsidRDefault="005B5EF1" w14:paraId="123E3ED1" w14:textId="77777777">
            <w:pPr>
              <w:spacing w:after="0" w:line="276" w:lineRule="auto"/>
            </w:pPr>
            <w:r>
              <w:t>Indicative trend detection</w:t>
            </w:r>
          </w:p>
        </w:tc>
      </w:tr>
      <w:tr w:rsidR="00382EDF" w14:paraId="123E3ED6" w14:textId="77777777">
        <w:trPr>
          <w:trHeight w:val="785"/>
        </w:trPr>
        <w:tc>
          <w:tcPr>
            <w:tcW w:w="2675" w:type="dxa"/>
            <w:tcBorders>
              <w:top w:val="nil"/>
              <w:left w:val="nil"/>
              <w:bottom w:val="nil"/>
              <w:right w:val="nil"/>
            </w:tcBorders>
            <w:tcMar>
              <w:top w:w="100" w:type="dxa"/>
              <w:left w:w="100" w:type="dxa"/>
              <w:bottom w:w="100" w:type="dxa"/>
              <w:right w:w="100" w:type="dxa"/>
            </w:tcMar>
          </w:tcPr>
          <w:p w:rsidR="00382EDF" w:rsidRDefault="005B5EF1" w14:paraId="123E3ED3" w14:textId="77777777">
            <w:pPr>
              <w:spacing w:after="0" w:line="276" w:lineRule="auto"/>
            </w:pPr>
            <w:r>
              <w:t>Carne Technologies stunner logs</w:t>
            </w:r>
          </w:p>
        </w:tc>
        <w:tc>
          <w:tcPr>
            <w:tcW w:w="3620" w:type="dxa"/>
            <w:tcBorders>
              <w:top w:val="nil"/>
              <w:left w:val="nil"/>
              <w:bottom w:val="nil"/>
              <w:right w:val="nil"/>
            </w:tcBorders>
            <w:tcMar>
              <w:top w:w="100" w:type="dxa"/>
              <w:left w:w="100" w:type="dxa"/>
              <w:bottom w:w="100" w:type="dxa"/>
              <w:right w:w="100" w:type="dxa"/>
            </w:tcMar>
          </w:tcPr>
          <w:p w:rsidR="00382EDF" w:rsidRDefault="005B5EF1" w14:paraId="123E3ED4" w14:textId="77777777">
            <w:pPr>
              <w:spacing w:after="0" w:line="276" w:lineRule="auto"/>
            </w:pPr>
            <w:r>
              <w:t>Amperage, duration, induction parameters</w:t>
            </w:r>
          </w:p>
        </w:tc>
        <w:tc>
          <w:tcPr>
            <w:tcW w:w="3110" w:type="dxa"/>
            <w:tcBorders>
              <w:top w:val="nil"/>
              <w:left w:val="nil"/>
              <w:bottom w:val="nil"/>
              <w:right w:val="nil"/>
            </w:tcBorders>
            <w:tcMar>
              <w:top w:w="100" w:type="dxa"/>
              <w:left w:w="100" w:type="dxa"/>
              <w:bottom w:w="100" w:type="dxa"/>
              <w:right w:w="100" w:type="dxa"/>
            </w:tcMar>
          </w:tcPr>
          <w:p w:rsidR="00382EDF" w:rsidRDefault="005B5EF1" w14:paraId="123E3ED5" w14:textId="77777777">
            <w:pPr>
              <w:spacing w:after="0" w:line="276" w:lineRule="auto"/>
            </w:pPr>
            <w:r>
              <w:t>Process-level objective measurement</w:t>
            </w:r>
          </w:p>
        </w:tc>
      </w:tr>
      <w:tr w:rsidR="00382EDF" w14:paraId="123E3EDA" w14:textId="77777777">
        <w:trPr>
          <w:trHeight w:val="785"/>
        </w:trPr>
        <w:tc>
          <w:tcPr>
            <w:tcW w:w="2675" w:type="dxa"/>
            <w:tcBorders>
              <w:top w:val="nil"/>
              <w:left w:val="nil"/>
              <w:bottom w:val="nil"/>
              <w:right w:val="nil"/>
            </w:tcBorders>
            <w:tcMar>
              <w:top w:w="100" w:type="dxa"/>
              <w:left w:w="100" w:type="dxa"/>
              <w:bottom w:w="100" w:type="dxa"/>
              <w:right w:w="100" w:type="dxa"/>
            </w:tcMar>
          </w:tcPr>
          <w:p w:rsidR="00382EDF" w:rsidRDefault="005B5EF1" w14:paraId="123E3ED7" w14:textId="77777777">
            <w:pPr>
              <w:spacing w:after="0" w:line="276" w:lineRule="auto"/>
            </w:pPr>
            <w:r>
              <w:t>Captive bolt sensor monitoring</w:t>
            </w:r>
          </w:p>
        </w:tc>
        <w:tc>
          <w:tcPr>
            <w:tcW w:w="3620" w:type="dxa"/>
            <w:tcBorders>
              <w:top w:val="nil"/>
              <w:left w:val="nil"/>
              <w:bottom w:val="nil"/>
              <w:right w:val="nil"/>
            </w:tcBorders>
            <w:tcMar>
              <w:top w:w="100" w:type="dxa"/>
              <w:left w:w="100" w:type="dxa"/>
              <w:bottom w:w="100" w:type="dxa"/>
              <w:right w:w="100" w:type="dxa"/>
            </w:tcMar>
          </w:tcPr>
          <w:p w:rsidR="00382EDF" w:rsidRDefault="005B5EF1" w14:paraId="123E3ED8" w14:textId="77777777">
            <w:pPr>
              <w:spacing w:after="0" w:line="276" w:lineRule="auto"/>
            </w:pPr>
            <w:r>
              <w:t>Removed from position logging</w:t>
            </w:r>
          </w:p>
        </w:tc>
        <w:tc>
          <w:tcPr>
            <w:tcW w:w="3110" w:type="dxa"/>
            <w:tcBorders>
              <w:top w:val="nil"/>
              <w:left w:val="nil"/>
              <w:bottom w:val="nil"/>
              <w:right w:val="nil"/>
            </w:tcBorders>
            <w:tcMar>
              <w:top w:w="100" w:type="dxa"/>
              <w:left w:w="100" w:type="dxa"/>
              <w:bottom w:w="100" w:type="dxa"/>
              <w:right w:w="100" w:type="dxa"/>
            </w:tcMar>
          </w:tcPr>
          <w:p w:rsidR="00382EDF" w:rsidRDefault="005B5EF1" w14:paraId="123E3ED9" w14:textId="77777777">
            <w:pPr>
              <w:spacing w:after="0" w:line="276" w:lineRule="auto"/>
            </w:pPr>
            <w:r>
              <w:t>Equipment usage verification</w:t>
            </w:r>
          </w:p>
        </w:tc>
      </w:tr>
      <w:tr w:rsidR="00382EDF" w14:paraId="123E3EDE" w14:textId="77777777">
        <w:trPr>
          <w:trHeight w:val="785"/>
        </w:trPr>
        <w:tc>
          <w:tcPr>
            <w:tcW w:w="2675" w:type="dxa"/>
            <w:tcBorders>
              <w:top w:val="nil"/>
              <w:left w:val="nil"/>
              <w:bottom w:val="nil"/>
              <w:right w:val="nil"/>
            </w:tcBorders>
            <w:tcMar>
              <w:top w:w="100" w:type="dxa"/>
              <w:left w:w="100" w:type="dxa"/>
              <w:bottom w:w="100" w:type="dxa"/>
              <w:right w:w="100" w:type="dxa"/>
            </w:tcMar>
          </w:tcPr>
          <w:p w:rsidR="00382EDF" w:rsidRDefault="005B5EF1" w14:paraId="123E3EDB" w14:textId="77777777">
            <w:pPr>
              <w:spacing w:after="0" w:line="276" w:lineRule="auto"/>
            </w:pPr>
            <w:r>
              <w:t>Manual clicker logs</w:t>
            </w:r>
          </w:p>
        </w:tc>
        <w:tc>
          <w:tcPr>
            <w:tcW w:w="3620" w:type="dxa"/>
            <w:tcBorders>
              <w:top w:val="nil"/>
              <w:left w:val="nil"/>
              <w:bottom w:val="nil"/>
              <w:right w:val="nil"/>
            </w:tcBorders>
            <w:tcMar>
              <w:top w:w="100" w:type="dxa"/>
              <w:left w:w="100" w:type="dxa"/>
              <w:bottom w:w="100" w:type="dxa"/>
              <w:right w:w="100" w:type="dxa"/>
            </w:tcMar>
          </w:tcPr>
          <w:p w:rsidR="00382EDF" w:rsidRDefault="005B5EF1" w14:paraId="123E3EDC" w14:textId="77777777">
            <w:pPr>
              <w:spacing w:after="0" w:line="276" w:lineRule="auto"/>
            </w:pPr>
            <w:r>
              <w:t>Real time event tagging</w:t>
            </w:r>
          </w:p>
        </w:tc>
        <w:tc>
          <w:tcPr>
            <w:tcW w:w="3110" w:type="dxa"/>
            <w:tcBorders>
              <w:top w:val="nil"/>
              <w:left w:val="nil"/>
              <w:bottom w:val="nil"/>
              <w:right w:val="nil"/>
            </w:tcBorders>
            <w:tcMar>
              <w:top w:w="100" w:type="dxa"/>
              <w:left w:w="100" w:type="dxa"/>
              <w:bottom w:w="100" w:type="dxa"/>
              <w:right w:w="100" w:type="dxa"/>
            </w:tcMar>
          </w:tcPr>
          <w:p w:rsidR="00382EDF" w:rsidRDefault="005B5EF1" w14:paraId="123E3EDD" w14:textId="77777777">
            <w:pPr>
              <w:spacing w:after="0" w:line="276" w:lineRule="auto"/>
            </w:pPr>
            <w:r>
              <w:t>Ground-truthing and KPI establishment</w:t>
            </w:r>
          </w:p>
        </w:tc>
      </w:tr>
      <w:tr w:rsidR="00382EDF" w14:paraId="123E3EE2" w14:textId="77777777">
        <w:trPr>
          <w:trHeight w:val="500"/>
        </w:trPr>
        <w:tc>
          <w:tcPr>
            <w:tcW w:w="2675" w:type="dxa"/>
            <w:tcBorders>
              <w:top w:val="nil"/>
              <w:left w:val="nil"/>
              <w:bottom w:val="nil"/>
              <w:right w:val="nil"/>
            </w:tcBorders>
            <w:tcMar>
              <w:top w:w="100" w:type="dxa"/>
              <w:left w:w="100" w:type="dxa"/>
              <w:bottom w:w="100" w:type="dxa"/>
              <w:right w:w="100" w:type="dxa"/>
            </w:tcMar>
          </w:tcPr>
          <w:p w:rsidR="00382EDF" w:rsidRDefault="005B5EF1" w14:paraId="123E3EDF" w14:textId="77777777">
            <w:pPr>
              <w:spacing w:after="0" w:line="276" w:lineRule="auto"/>
            </w:pPr>
            <w:r>
              <w:t>Incident Registry entries</w:t>
            </w:r>
          </w:p>
        </w:tc>
        <w:tc>
          <w:tcPr>
            <w:tcW w:w="3620" w:type="dxa"/>
            <w:tcBorders>
              <w:top w:val="nil"/>
              <w:left w:val="nil"/>
              <w:bottom w:val="nil"/>
              <w:right w:val="nil"/>
            </w:tcBorders>
            <w:tcMar>
              <w:top w:w="100" w:type="dxa"/>
              <w:left w:w="100" w:type="dxa"/>
              <w:bottom w:w="100" w:type="dxa"/>
              <w:right w:w="100" w:type="dxa"/>
            </w:tcMar>
          </w:tcPr>
          <w:p w:rsidR="00382EDF" w:rsidRDefault="005B5EF1" w14:paraId="123E3EE0" w14:textId="77777777">
            <w:pPr>
              <w:spacing w:after="0" w:line="276" w:lineRule="auto"/>
            </w:pPr>
            <w:r>
              <w:t>Corrective action documentation</w:t>
            </w:r>
          </w:p>
        </w:tc>
        <w:tc>
          <w:tcPr>
            <w:tcW w:w="3110" w:type="dxa"/>
            <w:tcBorders>
              <w:top w:val="nil"/>
              <w:left w:val="nil"/>
              <w:bottom w:val="nil"/>
              <w:right w:val="nil"/>
            </w:tcBorders>
            <w:tcMar>
              <w:top w:w="100" w:type="dxa"/>
              <w:left w:w="100" w:type="dxa"/>
              <w:bottom w:w="100" w:type="dxa"/>
              <w:right w:w="100" w:type="dxa"/>
            </w:tcMar>
          </w:tcPr>
          <w:p w:rsidR="00382EDF" w:rsidRDefault="005B5EF1" w14:paraId="123E3EE1" w14:textId="77777777">
            <w:pPr>
              <w:spacing w:after="0" w:line="276" w:lineRule="auto"/>
            </w:pPr>
            <w:r>
              <w:t>Governance linkage</w:t>
            </w:r>
          </w:p>
        </w:tc>
      </w:tr>
      <w:tr w:rsidR="00382EDF" w14:paraId="123E3EE6" w14:textId="77777777">
        <w:trPr>
          <w:trHeight w:val="785"/>
        </w:trPr>
        <w:tc>
          <w:tcPr>
            <w:tcW w:w="2675" w:type="dxa"/>
            <w:tcBorders>
              <w:top w:val="nil"/>
              <w:left w:val="nil"/>
              <w:bottom w:val="nil"/>
              <w:right w:val="nil"/>
            </w:tcBorders>
            <w:tcMar>
              <w:top w:w="100" w:type="dxa"/>
              <w:left w:w="100" w:type="dxa"/>
              <w:bottom w:w="100" w:type="dxa"/>
              <w:right w:w="100" w:type="dxa"/>
            </w:tcMar>
          </w:tcPr>
          <w:p w:rsidR="00382EDF" w:rsidRDefault="005B5EF1" w14:paraId="123E3EE3" w14:textId="77777777">
            <w:pPr>
              <w:spacing w:after="0" w:line="276" w:lineRule="auto"/>
            </w:pPr>
            <w:r>
              <w:t>AWO CCTV review</w:t>
            </w:r>
          </w:p>
        </w:tc>
        <w:tc>
          <w:tcPr>
            <w:tcW w:w="3620" w:type="dxa"/>
            <w:tcBorders>
              <w:top w:val="nil"/>
              <w:left w:val="nil"/>
              <w:bottom w:val="nil"/>
              <w:right w:val="nil"/>
            </w:tcBorders>
            <w:tcMar>
              <w:top w:w="100" w:type="dxa"/>
              <w:left w:w="100" w:type="dxa"/>
              <w:bottom w:w="100" w:type="dxa"/>
              <w:right w:w="100" w:type="dxa"/>
            </w:tcMar>
          </w:tcPr>
          <w:p w:rsidR="00382EDF" w:rsidRDefault="005B5EF1" w14:paraId="123E3EE4" w14:textId="77777777">
            <w:pPr>
              <w:spacing w:after="0" w:line="276" w:lineRule="auto"/>
            </w:pPr>
            <w:r>
              <w:t>Consciousness assessment and handling review</w:t>
            </w:r>
          </w:p>
        </w:tc>
        <w:tc>
          <w:tcPr>
            <w:tcW w:w="3110" w:type="dxa"/>
            <w:tcBorders>
              <w:top w:val="nil"/>
              <w:left w:val="nil"/>
              <w:bottom w:val="nil"/>
              <w:right w:val="nil"/>
            </w:tcBorders>
            <w:tcMar>
              <w:top w:w="100" w:type="dxa"/>
              <w:left w:w="100" w:type="dxa"/>
              <w:bottom w:w="100" w:type="dxa"/>
              <w:right w:w="100" w:type="dxa"/>
            </w:tcMar>
          </w:tcPr>
          <w:p w:rsidR="00382EDF" w:rsidRDefault="005B5EF1" w14:paraId="123E3EE5" w14:textId="77777777">
            <w:pPr>
              <w:spacing w:after="0" w:line="276" w:lineRule="auto"/>
            </w:pPr>
            <w:r>
              <w:t>Outcome verification</w:t>
            </w:r>
          </w:p>
        </w:tc>
      </w:tr>
    </w:tbl>
    <w:p w:rsidR="00382EDF" w:rsidRDefault="005B5EF1" w14:paraId="123E3EE7" w14:textId="77777777">
      <w:pPr>
        <w:spacing w:before="240" w:after="240" w:line="276" w:lineRule="auto"/>
      </w:pPr>
      <w:r>
        <w:t>The introduction of structured manual logging (clicker-based KPI capture) was a significant methodological pivot. Although not originally specified as the primary detection mechanism, manual logging proved critical in establishing operational baselines, identifying meaningful KPIs, correlating AI outputs with real-world events, building staff familiarity and engagement</w:t>
      </w:r>
    </w:p>
    <w:p w:rsidR="00382EDF" w:rsidRDefault="005B5EF1" w14:paraId="123E3EE8" w14:textId="77777777">
      <w:pPr>
        <w:spacing w:before="240" w:after="240" w:line="276" w:lineRule="auto"/>
      </w:pPr>
      <w:r>
        <w:t>Trend analysis was performed on dropped carcass frequency, mortality (Dead on Arrival / Dead in Pen), electrical stun performance metrics, handling indicators, and infrastructure-related risks.</w:t>
      </w:r>
    </w:p>
    <w:p w:rsidR="00382EDF" w:rsidRDefault="005B5EF1" w14:paraId="123E3EE9" w14:textId="77777777">
      <w:pPr>
        <w:spacing w:before="240" w:after="240" w:line="276" w:lineRule="auto"/>
      </w:pPr>
      <w:r>
        <w:t>Comparisons were made longitudinally across early, mid, and late project phases rather than strictly pre/post installation, due to the absence of reliable digital baseline data at project commencement.</w:t>
      </w:r>
    </w:p>
    <w:p w:rsidR="00382EDF" w:rsidRDefault="005B5EF1" w14:paraId="123E3EEA" w14:textId="77777777">
      <w:pPr>
        <w:pStyle w:val="Heading3"/>
      </w:pPr>
      <w:bookmarkStart w:name="_heading=h.h8ilmkvqvllm" w:colFirst="0" w:colLast="0" w:id="12"/>
      <w:bookmarkEnd w:id="12"/>
      <w:r>
        <w:t>Phase 3b – Training Tool Development and Integration</w:t>
      </w:r>
    </w:p>
    <w:p w:rsidR="00382EDF" w:rsidRDefault="005B5EF1" w14:paraId="123E3EEB" w14:textId="77777777">
      <w:pPr>
        <w:spacing w:before="240" w:after="240" w:line="276" w:lineRule="auto"/>
      </w:pPr>
      <w:r>
        <w:t>In parallel with AI development, practical training aids were developed and implemented, including electrical stun testing heads for calibration and training, species-specific anatomical models, mobile video-based learning modules.</w:t>
      </w:r>
    </w:p>
    <w:p w:rsidR="00382EDF" w:rsidRDefault="005B5EF1" w14:paraId="123E3EEC" w14:textId="77777777">
      <w:pPr>
        <w:spacing w:before="240" w:after="240" w:line="276" w:lineRule="auto"/>
      </w:pPr>
      <w:r>
        <w:t>These tools were integrated into daily operations and used to improve stun placement consistency, reinforce correct technique, and provide structured competency reinforcement.</w:t>
      </w:r>
    </w:p>
    <w:p w:rsidR="00382EDF" w:rsidRDefault="005B5EF1" w14:paraId="123E3EED" w14:textId="77777777">
      <w:pPr>
        <w:spacing w:before="240" w:after="240" w:line="276" w:lineRule="auto"/>
      </w:pPr>
      <w:r>
        <w:t>Training tool deployment was monitored through usage frequency, staff participation, and incorporation into corrective action processes.</w:t>
      </w:r>
    </w:p>
    <w:p w:rsidR="00382EDF" w:rsidRDefault="005B5EF1" w14:paraId="123E3EEE" w14:textId="77777777">
      <w:pPr>
        <w:pStyle w:val="Heading3"/>
      </w:pPr>
      <w:bookmarkStart w:name="_heading=h.hp76fz91xpwl" w:colFirst="0" w:colLast="0" w:id="13"/>
      <w:bookmarkEnd w:id="13"/>
      <w:r>
        <w:t>Phase 4 – Data Security Risk Assessment</w:t>
      </w:r>
    </w:p>
    <w:p w:rsidR="00382EDF" w:rsidRDefault="005B5EF1" w14:paraId="123E3EEF" w14:textId="77777777">
      <w:pPr>
        <w:spacing w:before="240" w:after="240" w:line="276" w:lineRule="auto"/>
      </w:pPr>
      <w:r>
        <w:t>A structured cybersecurity and governance review was undertaken to assess risks associated with surveillance and AI deployment in abattoirs. The review examined network segmentation, device credential management, access controls, on-premises server security, insider tampering risk, data retention and deletion practices, and incident response readiness. The methodology included architecture review, risk gap analysis, industry benchmarking, and case study examination.</w:t>
      </w:r>
    </w:p>
    <w:p w:rsidR="00382EDF" w:rsidRDefault="005B5EF1" w14:paraId="123E3EF0" w14:textId="77777777">
      <w:pPr>
        <w:spacing w:before="240" w:after="240" w:line="276" w:lineRule="auto"/>
      </w:pPr>
      <w:r>
        <w:t>Outputs included a Meat Processor Surveillance Security Best Practice Checklist, and a Data Security Checklist for Abattoirs.</w:t>
      </w:r>
    </w:p>
    <w:p w:rsidR="00382EDF" w:rsidRDefault="005B5EF1" w14:paraId="123E3EF1" w14:textId="77777777">
      <w:pPr>
        <w:spacing w:before="240" w:after="240" w:line="276" w:lineRule="auto"/>
      </w:pPr>
      <w:r>
        <w:t>These materials were developed to meet the project objective of establishing industry benchmarks for data protection and cybersecurity.</w:t>
      </w:r>
    </w:p>
    <w:p w:rsidR="00382EDF" w:rsidRDefault="005B5EF1" w14:paraId="123E3EF2" w14:textId="77777777">
      <w:pPr>
        <w:pStyle w:val="Heading3"/>
      </w:pPr>
      <w:bookmarkStart w:name="_heading=h.j28miiiw48vk" w:colFirst="0" w:colLast="0" w:id="14"/>
      <w:bookmarkEnd w:id="14"/>
      <w:r>
        <w:t>Phase 5 – Case Study and Industry Communication</w:t>
      </w:r>
    </w:p>
    <w:p w:rsidR="00382EDF" w:rsidRDefault="005B5EF1" w14:paraId="123E3EF3" w14:textId="77777777">
      <w:pPr>
        <w:spacing w:before="240" w:after="240" w:line="276" w:lineRule="auto"/>
      </w:pPr>
      <w:r>
        <w:t>A structured case study was developed documenting initial risk profile, monitoring system deployment, operational and cultural changes, welfare trend improvements, and certification restoration.</w:t>
      </w:r>
    </w:p>
    <w:p w:rsidR="00382EDF" w:rsidRDefault="005B5EF1" w14:paraId="123E3EF4" w14:textId="77777777">
      <w:pPr>
        <w:spacing w:before="240" w:after="240" w:line="276" w:lineRule="auto"/>
      </w:pPr>
      <w:r>
        <w:t>The case study was written to be adaptable for both confidential and redacted industry versions.</w:t>
      </w:r>
    </w:p>
    <w:p w:rsidR="00382EDF" w:rsidRDefault="005B5EF1" w14:paraId="123E3EF5" w14:textId="77777777">
      <w:pPr>
        <w:pStyle w:val="Heading2"/>
      </w:pPr>
      <w:bookmarkStart w:name="_heading=h.ne47eo1jzw9l" w:colFirst="0" w:colLast="0" w:id="15"/>
      <w:bookmarkEnd w:id="15"/>
      <w:r>
        <w:t>5.3 Welfare Risk Assessment Framework</w:t>
      </w:r>
    </w:p>
    <w:p w:rsidR="00382EDF" w:rsidRDefault="005B5EF1" w14:paraId="123E3EF6" w14:textId="77777777">
      <w:pPr>
        <w:spacing w:before="240" w:after="240" w:line="276" w:lineRule="auto"/>
      </w:pPr>
      <w:r>
        <w:t>Welfare risk was assessed using independent periodic risk assessments, KPI trend analysis, stunner performance statistics, mortality trends, and observational verification.</w:t>
      </w:r>
    </w:p>
    <w:p w:rsidR="00382EDF" w:rsidRDefault="005B5EF1" w14:paraId="123E3EF7" w14:textId="77777777">
      <w:pPr>
        <w:spacing w:before="240" w:after="240" w:line="276" w:lineRule="auto"/>
      </w:pPr>
      <w:r>
        <w:t>Rather than relying solely on detection counts, risk interpretation incorporated severity weighting, frequency trends, infrastructure changes, staff competence considerations, and organisational response patterns.</w:t>
      </w:r>
    </w:p>
    <w:p w:rsidR="00382EDF" w:rsidRDefault="005B5EF1" w14:paraId="123E3EF8" w14:textId="77777777">
      <w:pPr>
        <w:spacing w:before="240" w:after="240" w:line="276" w:lineRule="auto"/>
      </w:pPr>
      <w:r>
        <w:t>This approach recognised that welfare improvement is reflected not only in event reduction but in the consistency and reliability of corrective action systems.</w:t>
      </w:r>
    </w:p>
    <w:p w:rsidR="00382EDF" w:rsidRDefault="005B5EF1" w14:paraId="123E3EF9" w14:textId="77777777">
      <w:pPr>
        <w:pStyle w:val="Heading2"/>
      </w:pPr>
      <w:bookmarkStart w:name="_heading=h.o86i6mlj94gp" w:colFirst="0" w:colLast="0" w:id="16"/>
      <w:bookmarkEnd w:id="16"/>
      <w:r>
        <w:t>5.4 Limitations of the Methodological Approach</w:t>
      </w:r>
    </w:p>
    <w:p w:rsidR="00382EDF" w:rsidRDefault="005B5EF1" w14:paraId="123E3EFA" w14:textId="77777777">
      <w:pPr>
        <w:spacing w:before="240" w:after="240" w:line="276" w:lineRule="auto"/>
      </w:pPr>
      <w:r>
        <w:t>Several constraints influenced methodological design including the absence of reliable preinstallation digital baseline data, regulatory intervention at project commencement, mixed-species complexity, operational disruption and reduced throughput during ownership transition, and environmental variability affecting early AI model performance.</w:t>
      </w:r>
    </w:p>
    <w:p w:rsidR="00382EDF" w:rsidRDefault="005B5EF1" w14:paraId="123E3EFB" w14:textId="77777777">
      <w:pPr>
        <w:spacing w:before="240" w:after="240" w:line="276" w:lineRule="auto"/>
      </w:pPr>
      <w:r>
        <w:t>These limitations required an adaptive, iterative approach rather than a controlled experimental design.</w:t>
      </w:r>
    </w:p>
    <w:p w:rsidR="00382EDF" w:rsidRDefault="005B5EF1" w14:paraId="123E3EFC" w14:textId="77777777">
      <w:pPr>
        <w:pStyle w:val="Heading1"/>
        <w:numPr>
          <w:ilvl w:val="0"/>
          <w:numId w:val="7"/>
        </w:numPr>
        <w:ind w:left="709" w:hanging="709"/>
      </w:pPr>
      <w:bookmarkStart w:name="_heading=h.wdag2zalo3to" w:colFirst="0" w:colLast="0" w:id="17"/>
      <w:bookmarkEnd w:id="17"/>
      <w:r>
        <w:t xml:space="preserve">Results </w:t>
      </w:r>
    </w:p>
    <w:p w:rsidR="00382EDF" w:rsidRDefault="005B5EF1" w14:paraId="123E3EFD" w14:textId="77777777">
      <w:pPr>
        <w:pStyle w:val="Heading2"/>
      </w:pPr>
      <w:bookmarkStart w:name="_heading=h.xvwq1tvxuj0h" w:colFirst="0" w:colLast="0" w:id="18"/>
      <w:bookmarkEnd w:id="18"/>
      <w:r>
        <w:t>6.1 Phase 1 – System Installation and Initial Operational Conditions</w:t>
      </w:r>
    </w:p>
    <w:p w:rsidR="00382EDF" w:rsidRDefault="005B5EF1" w14:paraId="123E3EFE" w14:textId="77777777">
      <w:pPr>
        <w:spacing w:before="240" w:after="240" w:line="276" w:lineRule="auto"/>
      </w:pPr>
      <w:r>
        <w:t xml:space="preserve">At the commencement of Phase 1, the processing facility was operating under significant regulatory scrutiny and heightened external oversight. Baseline welfare data were not available in structured digital form. Historical welfare monitoring had relied primarily on </w:t>
      </w:r>
      <w:proofErr w:type="gramStart"/>
      <w:r>
        <w:t>paper based</w:t>
      </w:r>
      <w:proofErr w:type="gramEnd"/>
      <w:r>
        <w:t xml:space="preserve"> records, supervisor observation, and episodic audit reporting. As a result, no continuous quantitative dataset existed against which AI enabled monitoring performance could be benchmarked. This limitation shaped the interpretation of all subsequent results.</w:t>
      </w:r>
    </w:p>
    <w:p w:rsidR="00382EDF" w:rsidRDefault="005B5EF1" w14:paraId="123E3EFF" w14:textId="77777777">
      <w:pPr>
        <w:spacing w:before="240" w:after="240" w:line="276" w:lineRule="auto"/>
      </w:pPr>
      <w:r>
        <w:t xml:space="preserve">The initial deployment focused on installation of the AI enabled CCTV system across critical animal handling and slaughter stages, including unloading ramps, lairage areas, raceway transitions, v-restraint entry, stunning positions, and the bleed rail. The system was configured using an </w:t>
      </w:r>
      <w:proofErr w:type="gramStart"/>
      <w:r>
        <w:t>on premises</w:t>
      </w:r>
      <w:proofErr w:type="gramEnd"/>
      <w:r>
        <w:t xml:space="preserve"> architecture with controlled access and integration into the facility’s existing CCTV infrastructure. Early installation revealed variability in camera angles, lighting consistency, and animal flow patterns, particularly in areas processing multiple species through shared infrastructure.</w:t>
      </w:r>
    </w:p>
    <w:p w:rsidR="00382EDF" w:rsidRDefault="005B5EF1" w14:paraId="123E3F00" w14:textId="77777777">
      <w:pPr>
        <w:spacing w:before="240" w:after="240" w:line="276" w:lineRule="auto"/>
      </w:pPr>
      <w:r>
        <w:t xml:space="preserve">During the early installation period, welfare risks identified through independent observation and regulatory review included handling inconsistencies, infrastructure-related movement congestion in the v-restraint, unloading stressors </w:t>
      </w:r>
      <w:r>
        <w:t>for goats, and variability in stunning performance. The AI system at this stage functioned primarily as a data capture and video indexing tool rather than a mature detection system. Early model performance reflected environmental complexity and multi-species behavioural variation, requiring iterative calibration.</w:t>
      </w:r>
    </w:p>
    <w:p w:rsidR="00382EDF" w:rsidRDefault="005B5EF1" w14:paraId="123E3F01" w14:textId="77777777">
      <w:pPr>
        <w:spacing w:before="240" w:after="240" w:line="276" w:lineRule="auto"/>
      </w:pPr>
      <w:r>
        <w:t xml:space="preserve">Although automation capability was limited in this early stage, the installation created, for the first time, continuous visual documentation of </w:t>
      </w:r>
      <w:proofErr w:type="gramStart"/>
      <w:r>
        <w:t>high risk</w:t>
      </w:r>
      <w:proofErr w:type="gramEnd"/>
      <w:r>
        <w:t xml:space="preserve"> welfare zones. This shift from episodic observation to full day coverage represented a foundational change in visibility, even before measurable trend improvements were observed.</w:t>
      </w:r>
    </w:p>
    <w:p w:rsidR="00382EDF" w:rsidRDefault="005B5EF1" w14:paraId="123E3F02" w14:textId="77777777">
      <w:pPr>
        <w:pStyle w:val="Heading2"/>
      </w:pPr>
      <w:bookmarkStart w:name="_heading=h.k1tp8s2i5j2j" w:colFirst="0" w:colLast="0" w:id="19"/>
      <w:bookmarkEnd w:id="19"/>
      <w:r>
        <w:t>6.2 Phase 2 – AI Model Training and Early Hybrid Monitoring Development</w:t>
      </w:r>
    </w:p>
    <w:p w:rsidR="00382EDF" w:rsidRDefault="005B5EF1" w14:paraId="123E3F03" w14:textId="77777777">
      <w:pPr>
        <w:spacing w:before="240" w:after="240" w:line="276" w:lineRule="auto"/>
      </w:pPr>
      <w:r>
        <w:t>As AI models were trained on site specific footage, it became apparent that computer vision performance was sensitive to environmental and behavioural variability. Sheep, lambs, goats, and calves displayed different movement patterns, body sizes, grouping behaviours, and responses to raceway pressure. Occlusion, crowding, and lighting variability reduced detection accuracy in certain zones. These constraints are consistent with documented limitations of computer vision in dynamic industrial environments.</w:t>
      </w:r>
    </w:p>
    <w:p w:rsidR="00382EDF" w:rsidRDefault="005B5EF1" w14:paraId="123E3F04" w14:textId="77777777">
      <w:pPr>
        <w:spacing w:before="240" w:after="240" w:line="276" w:lineRule="auto"/>
      </w:pPr>
      <w:r>
        <w:t>During this phase, a methodological pivot occurred. Structured manual data collection was introduced using handheld clickers and defined welfare KPIs. Staff were trained to log events in real time, including dropped carcasses, handling interventions, mortalities, and equipment-related concerns. This manual logging process served two important functions. First, it established operational baselines for key welfare indicators. Second, it created ground-truth data against which AI detections could be compared and refined.</w:t>
      </w:r>
    </w:p>
    <w:p w:rsidR="00382EDF" w:rsidRDefault="005B5EF1" w14:paraId="123E3F05" w14:textId="77777777">
      <w:pPr>
        <w:spacing w:before="240" w:after="240" w:line="276" w:lineRule="auto"/>
      </w:pPr>
      <w:r>
        <w:t>Concurrently, integration with the Carne Technologies electrical stunning system enabled capture of amperage and duration data for each stun cycle. This created an objective process level dataset that could be reviewed in conjunction with CCTV footage. Although amperage and duration do not independently confirm stun effectiveness, the ability to correlate stun parameters with visual outcome review by the Animal Welfare Officer significantly strengthened the analytical capability of the monitoring system.</w:t>
      </w:r>
    </w:p>
    <w:p w:rsidR="00382EDF" w:rsidRDefault="005B5EF1" w14:paraId="123E3F06" w14:textId="77777777">
      <w:pPr>
        <w:spacing w:before="240" w:after="240" w:line="276" w:lineRule="auto"/>
      </w:pPr>
      <w:r>
        <w:t xml:space="preserve">During Phase 2, the system transitioned from a purely AI driven detection concept to a hybrid monitoring model combining automated flags, manual logging, sensor data, and AWO review. This hybrid configuration improved reliability and reduced the risk of over reliance on </w:t>
      </w:r>
      <w:proofErr w:type="gramStart"/>
      <w:r>
        <w:t>early stage</w:t>
      </w:r>
      <w:proofErr w:type="gramEnd"/>
      <w:r>
        <w:t xml:space="preserve"> AI outputs. While full automation remained in development, the system began to produce structured welfare datasets suitable for trend analysis.</w:t>
      </w:r>
    </w:p>
    <w:p w:rsidR="00382EDF" w:rsidRDefault="005B5EF1" w14:paraId="123E3F07" w14:textId="77777777">
      <w:pPr>
        <w:pStyle w:val="Heading2"/>
      </w:pPr>
      <w:bookmarkStart w:name="_heading=h.ra1coyo6r0x9" w:colFirst="0" w:colLast="0" w:id="20"/>
      <w:bookmarkEnd w:id="20"/>
      <w:r>
        <w:t>6.3 Phase 3 – Data Integration, Welfare Trend Stabilisation, and Organisational Reform</w:t>
      </w:r>
    </w:p>
    <w:p w:rsidR="00382EDF" w:rsidRDefault="005B5EF1" w14:paraId="123E3F08" w14:textId="77777777">
      <w:pPr>
        <w:spacing w:before="240" w:after="240" w:line="276" w:lineRule="auto"/>
      </w:pPr>
      <w:r>
        <w:t>Phase 3 marked the most substantial period of measurable change. By this stage, manual logging had become embedded in daily operations, and the Animal Welfare Officer role had stabilised as a central oversight function. Weekly review meetings incorporated dashboard outputs, incident registry entries, and corrective action tracking. Infrastructure modifications were undertaken, including improvements to the v-restraint configuration and unloading flow adjustments for goats.</w:t>
      </w:r>
    </w:p>
    <w:p w:rsidR="00382EDF" w:rsidRDefault="005B5EF1" w14:paraId="123E3F09" w14:textId="77777777">
      <w:pPr>
        <w:pStyle w:val="Heading3"/>
      </w:pPr>
      <w:bookmarkStart w:name="_heading=h.y7fu7zq5tdnc" w:colFirst="0" w:colLast="0" w:id="21"/>
      <w:bookmarkEnd w:id="21"/>
      <w:r>
        <w:t>Dropped Carcass Trends</w:t>
      </w:r>
    </w:p>
    <w:p w:rsidR="00382EDF" w:rsidRDefault="005B5EF1" w14:paraId="123E3F0A" w14:textId="77777777">
      <w:pPr>
        <w:spacing w:before="240" w:after="240" w:line="276" w:lineRule="auto"/>
      </w:pPr>
      <w:r>
        <w:t>One of the clearest measurable improvements occurred in dropped carcass frequency. Following reductions in chain speed and modification of the v-restraint configuration, the number of dropped carcasses declined significantly. Additionally, the introduction of an automatic cutoff mechanism in the restraint system, which alerted the stunner during chain stoppage events, reduced the accumulation of animals on the table during operational pauses. These interventions were procedural and infrastructural rather than algorithmic, but the monitoring system enabled objective tracking of the resulting change.</w:t>
      </w:r>
    </w:p>
    <w:p w:rsidR="00382EDF" w:rsidRDefault="005B5EF1" w14:paraId="123E3F0B" w14:textId="77777777">
      <w:pPr>
        <w:spacing w:before="480" w:after="120"/>
      </w:pPr>
      <w:r>
        <w:rPr>
          <w:b/>
          <w:bCs/>
          <w:noProof/>
          <w:highlight w:val="yellow"/>
        </w:rPr>
        <w:drawing>
          <wp:inline distT="114300" distB="114300" distL="114300" distR="114300" wp14:anchorId="123E4000" wp14:editId="123E4001">
            <wp:extent cx="6551620" cy="2324100"/>
            <wp:effectExtent l="0" t="0" r="0" b="0"/>
            <wp:docPr id="2039362027"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6"/>
                    <a:srcRect/>
                    <a:stretch>
                      <a:fillRect/>
                    </a:stretch>
                  </pic:blipFill>
                  <pic:spPr>
                    <a:xfrm>
                      <a:off x="0" y="0"/>
                      <a:ext cx="6551620" cy="2324100"/>
                    </a:xfrm>
                    <a:prstGeom prst="rect">
                      <a:avLst/>
                    </a:prstGeom>
                    <a:ln/>
                  </pic:spPr>
                </pic:pic>
              </a:graphicData>
            </a:graphic>
          </wp:inline>
        </w:drawing>
      </w:r>
    </w:p>
    <w:p w:rsidR="00382EDF" w:rsidRDefault="005B5EF1" w14:paraId="123E3F0C" w14:textId="77777777">
      <w:pPr>
        <w:pStyle w:val="Heading3"/>
      </w:pPr>
      <w:bookmarkStart w:name="_heading=h.a51m22avnqg6" w:colFirst="0" w:colLast="0" w:id="22"/>
      <w:bookmarkEnd w:id="22"/>
      <w:r>
        <w:t>Mortality (DOA and DIP) Trends</w:t>
      </w:r>
    </w:p>
    <w:p w:rsidR="00382EDF" w:rsidRDefault="005B5EF1" w14:paraId="123E3F0D" w14:textId="77777777">
      <w:pPr>
        <w:spacing w:before="240" w:after="240" w:line="276" w:lineRule="auto"/>
      </w:pPr>
      <w:r>
        <w:t xml:space="preserve">Monitoring of </w:t>
      </w:r>
      <w:proofErr w:type="gramStart"/>
      <w:r>
        <w:t>Dead on</w:t>
      </w:r>
      <w:proofErr w:type="gramEnd"/>
      <w:r>
        <w:t xml:space="preserve"> Arrival (DOA) and Dead in Pen (DIP) metrics revealed improvements associated with changes in transport communication and drafting practices. Enhanced coordination with transport providers reduced mixing related stress in goats and improved class specific management. Seasonal variability remained a factor, but the facility demonstrated improved tracking and responsiveness to mortality trends compared to pre project conditions.</w:t>
      </w:r>
    </w:p>
    <w:p w:rsidR="00382EDF" w:rsidRDefault="005B5EF1" w14:paraId="123E3F0E" w14:textId="77777777">
      <w:pPr>
        <w:spacing w:before="480" w:after="120"/>
        <w:ind w:left="360"/>
      </w:pPr>
      <w:r>
        <w:rPr>
          <w:b/>
          <w:bCs/>
          <w:noProof/>
        </w:rPr>
        <w:drawing>
          <wp:inline distT="114300" distB="114300" distL="114300" distR="114300" wp14:anchorId="123E4002" wp14:editId="123E4003">
            <wp:extent cx="4097296" cy="2525078"/>
            <wp:effectExtent l="0" t="0" r="0" b="0"/>
            <wp:docPr id="2039362025"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7"/>
                    <a:srcRect/>
                    <a:stretch>
                      <a:fillRect/>
                    </a:stretch>
                  </pic:blipFill>
                  <pic:spPr>
                    <a:xfrm>
                      <a:off x="0" y="0"/>
                      <a:ext cx="4097296" cy="2525078"/>
                    </a:xfrm>
                    <a:prstGeom prst="rect">
                      <a:avLst/>
                    </a:prstGeom>
                    <a:ln/>
                  </pic:spPr>
                </pic:pic>
              </a:graphicData>
            </a:graphic>
          </wp:inline>
        </w:drawing>
      </w:r>
    </w:p>
    <w:p w:rsidR="00382EDF" w:rsidRDefault="005B5EF1" w14:paraId="123E3F0F" w14:textId="77777777">
      <w:pPr>
        <w:pStyle w:val="Heading3"/>
      </w:pPr>
      <w:bookmarkStart w:name="_heading=h.snoozhje41k5" w:colFirst="0" w:colLast="0" w:id="23"/>
      <w:bookmarkEnd w:id="23"/>
      <w:r>
        <w:t>Electrical Stunning Performance</w:t>
      </w:r>
    </w:p>
    <w:p w:rsidR="00382EDF" w:rsidRDefault="005B5EF1" w14:paraId="123E3F10" w14:textId="77777777">
      <w:pPr>
        <w:spacing w:before="240" w:after="240" w:line="276" w:lineRule="auto"/>
      </w:pPr>
      <w:r>
        <w:t>Electrical stunning data integrated from the Carne system provided detailed performance metrics across multiple days. Across the sample period presented during the project, stun success rates ranged between approximately 93% and 98%, with overall population success rates exceeding 96%. Operator-level analysis revealed variability between staff members, highlighting the importance of continued monitoring and competency reinforcement. The ability to associate stun parameter data with CCTV review strengthened identification of retraining needs and prevented reliance solely on equipment dashboard outputs.</w:t>
      </w:r>
    </w:p>
    <w:p w:rsidR="00DB48C3" w:rsidRDefault="00DB48C3" w14:paraId="2817550D" w14:textId="77777777">
      <w:pPr>
        <w:spacing w:before="240" w:after="240" w:line="276" w:lineRule="auto"/>
      </w:pPr>
    </w:p>
    <w:p w:rsidR="00382EDF" w:rsidRDefault="005B5EF1" w14:paraId="123E3F11" w14:textId="77777777">
      <w:pPr>
        <w:pStyle w:val="Heading4"/>
        <w:keepNext w:val="0"/>
        <w:keepLines w:val="0"/>
        <w:spacing w:before="280"/>
        <w:ind w:left="720" w:hanging="360"/>
      </w:pPr>
      <w:bookmarkStart w:name="_heading=h.nejyyc44o5d1" w:colFirst="0" w:colLast="0" w:id="24"/>
      <w:bookmarkEnd w:id="24"/>
      <w:r>
        <w:t>Table 1. Stunner Performance - Population Summary</w:t>
      </w:r>
    </w:p>
    <w:tbl>
      <w:tblPr>
        <w:tblStyle w:val="aff1"/>
        <w:tblW w:w="9705" w:type="dxa"/>
        <w:tblBorders>
          <w:top w:val="nil"/>
          <w:left w:val="nil"/>
          <w:bottom w:val="nil"/>
          <w:right w:val="nil"/>
          <w:insideH w:val="nil"/>
          <w:insideV w:val="nil"/>
        </w:tblBorders>
        <w:tblLayout w:type="fixed"/>
        <w:tblLook w:val="0600" w:firstRow="0" w:lastRow="0" w:firstColumn="0" w:lastColumn="0" w:noHBand="1" w:noVBand="1"/>
      </w:tblPr>
      <w:tblGrid>
        <w:gridCol w:w="1620"/>
        <w:gridCol w:w="1620"/>
        <w:gridCol w:w="1620"/>
        <w:gridCol w:w="1620"/>
        <w:gridCol w:w="1620"/>
        <w:gridCol w:w="1605"/>
      </w:tblGrid>
      <w:tr w:rsidR="00382EDF" w:rsidTr="00DB48C3" w14:paraId="123E3F18"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2" w14:textId="064A132B">
            <w:pPr>
              <w:spacing w:after="0"/>
            </w:pPr>
            <w:r>
              <w:t>Date</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3" w14:textId="77777777">
            <w:pPr>
              <w:spacing w:after="0"/>
            </w:pPr>
            <w:r>
              <w:t>Total</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4" w14:textId="77777777">
            <w:pPr>
              <w:spacing w:after="0"/>
            </w:pPr>
            <w:r>
              <w:t>Induction Failure</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5" w14:textId="77777777">
            <w:pPr>
              <w:spacing w:after="0"/>
            </w:pPr>
            <w:r>
              <w:t>Duration Failure</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6" w14:textId="77777777">
            <w:pPr>
              <w:spacing w:after="0"/>
            </w:pPr>
            <w:r>
              <w:t>Sim. Success</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7" w14:textId="77777777">
            <w:pPr>
              <w:spacing w:after="0"/>
            </w:pPr>
            <w:r>
              <w:t>Pop. Success %</w:t>
            </w:r>
          </w:p>
        </w:tc>
      </w:tr>
      <w:tr w:rsidR="00382EDF" w:rsidTr="00DB48C3" w14:paraId="123E3F1F"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9" w14:textId="77777777">
            <w:pPr>
              <w:spacing w:after="0"/>
            </w:pPr>
            <w:r>
              <w:t>2025-10-01</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A" w14:textId="77777777">
            <w:pPr>
              <w:spacing w:after="0"/>
            </w:pPr>
            <w:r>
              <w:t>1668</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B" w14:textId="77777777">
            <w:pPr>
              <w:spacing w:after="0"/>
            </w:pPr>
            <w:r>
              <w:t>28</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C" w14:textId="77777777">
            <w:pPr>
              <w:spacing w:after="0"/>
            </w:pPr>
            <w:r>
              <w:t>61</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D" w14:textId="77777777">
            <w:pPr>
              <w:spacing w:after="0"/>
            </w:pPr>
            <w:r>
              <w:t>1607</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1E" w14:textId="77777777">
            <w:pPr>
              <w:spacing w:after="0"/>
            </w:pPr>
            <w:r>
              <w:t>96.3</w:t>
            </w:r>
          </w:p>
        </w:tc>
      </w:tr>
      <w:tr w:rsidR="00382EDF" w:rsidTr="00DB48C3" w14:paraId="123E3F26"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0" w14:textId="77777777">
            <w:pPr>
              <w:spacing w:after="0"/>
            </w:pPr>
            <w:r>
              <w:t>2025-10-02</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1" w14:textId="77777777">
            <w:pPr>
              <w:spacing w:after="0"/>
            </w:pPr>
            <w:r>
              <w:t>2220</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2" w14:textId="77777777">
            <w:pPr>
              <w:spacing w:after="0"/>
            </w:pPr>
            <w:r>
              <w:t>14</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3" w14:textId="77777777">
            <w:pPr>
              <w:spacing w:after="0"/>
            </w:pPr>
            <w:r>
              <w:t>42</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4" w14:textId="77777777">
            <w:pPr>
              <w:spacing w:after="0"/>
            </w:pPr>
            <w:r>
              <w:t>2178</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5" w14:textId="77777777">
            <w:pPr>
              <w:spacing w:after="0"/>
            </w:pPr>
            <w:r>
              <w:t>98.1</w:t>
            </w:r>
          </w:p>
        </w:tc>
      </w:tr>
      <w:tr w:rsidR="00382EDF" w:rsidTr="00DB48C3" w14:paraId="123E3F2D"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7" w14:textId="77777777">
            <w:pPr>
              <w:spacing w:after="0"/>
            </w:pPr>
            <w:r>
              <w:t>2025-10-06</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8" w14:textId="77777777">
            <w:pPr>
              <w:spacing w:after="0"/>
            </w:pPr>
            <w:r>
              <w:t>1882</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9" w14:textId="77777777">
            <w:pPr>
              <w:spacing w:after="0"/>
            </w:pPr>
            <w:r>
              <w:t>20</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A" w14:textId="77777777">
            <w:pPr>
              <w:spacing w:after="0"/>
            </w:pPr>
            <w:r>
              <w:t>46</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B" w14:textId="77777777">
            <w:pPr>
              <w:spacing w:after="0"/>
            </w:pPr>
            <w:r>
              <w:t>1836</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C" w14:textId="77777777">
            <w:pPr>
              <w:spacing w:after="0"/>
            </w:pPr>
            <w:r>
              <w:t>97.6</w:t>
            </w:r>
          </w:p>
        </w:tc>
      </w:tr>
      <w:tr w:rsidR="00382EDF" w:rsidTr="00DB48C3" w14:paraId="123E3F34"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E" w14:textId="77777777">
            <w:pPr>
              <w:spacing w:after="0"/>
            </w:pPr>
            <w:r>
              <w:t>2025-10-07</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2F" w14:textId="77777777">
            <w:pPr>
              <w:spacing w:after="0"/>
            </w:pPr>
            <w:r>
              <w:t>2847</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0" w14:textId="77777777">
            <w:pPr>
              <w:spacing w:after="0"/>
            </w:pPr>
            <w:r>
              <w:t>52</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1" w14:textId="77777777">
            <w:pPr>
              <w:spacing w:after="0"/>
            </w:pPr>
            <w:r>
              <w:t>112</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2" w14:textId="77777777">
            <w:pPr>
              <w:spacing w:after="0"/>
            </w:pPr>
            <w:r>
              <w:t>2735</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3" w14:textId="77777777">
            <w:pPr>
              <w:spacing w:after="0"/>
            </w:pPr>
            <w:r>
              <w:t>96.1</w:t>
            </w:r>
          </w:p>
        </w:tc>
      </w:tr>
      <w:tr w:rsidR="00382EDF" w:rsidTr="00DB48C3" w14:paraId="123E3F3B"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5" w14:textId="77777777">
            <w:pPr>
              <w:spacing w:after="0"/>
            </w:pPr>
            <w:r>
              <w:t>2025-10-08</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6" w14:textId="77777777">
            <w:pPr>
              <w:spacing w:after="0"/>
            </w:pPr>
            <w:r>
              <w:t>2692</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7" w14:textId="77777777">
            <w:pPr>
              <w:spacing w:after="0"/>
            </w:pPr>
            <w:r>
              <w:t>24</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8" w14:textId="77777777">
            <w:pPr>
              <w:spacing w:after="0"/>
            </w:pPr>
            <w:r>
              <w:t>66</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9" w14:textId="77777777">
            <w:pPr>
              <w:spacing w:after="0"/>
            </w:pPr>
            <w:r>
              <w:t>2626</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A" w14:textId="77777777">
            <w:pPr>
              <w:spacing w:after="0"/>
            </w:pPr>
            <w:r>
              <w:t>97.5</w:t>
            </w:r>
          </w:p>
        </w:tc>
      </w:tr>
      <w:tr w:rsidR="00382EDF" w:rsidTr="00DB48C3" w14:paraId="123E3F42"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C" w14:textId="77777777">
            <w:pPr>
              <w:spacing w:after="0"/>
            </w:pPr>
            <w:r>
              <w:t>2025-10-09</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D" w14:textId="77777777">
            <w:pPr>
              <w:spacing w:after="0"/>
            </w:pPr>
            <w:r>
              <w:t>3409</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E" w14:textId="77777777">
            <w:pPr>
              <w:spacing w:after="0"/>
            </w:pPr>
            <w:r>
              <w:t>17</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3F" w14:textId="77777777">
            <w:pPr>
              <w:spacing w:after="0"/>
            </w:pPr>
            <w:r>
              <w:t>69</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0" w14:textId="77777777">
            <w:pPr>
              <w:spacing w:after="0"/>
            </w:pPr>
            <w:r>
              <w:t>3340</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1" w14:textId="77777777">
            <w:pPr>
              <w:spacing w:after="0"/>
            </w:pPr>
            <w:r>
              <w:t>98</w:t>
            </w:r>
          </w:p>
        </w:tc>
      </w:tr>
      <w:tr w:rsidR="00382EDF" w:rsidTr="00DB48C3" w14:paraId="123E3F49"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3" w14:textId="77777777">
            <w:pPr>
              <w:spacing w:after="0"/>
            </w:pPr>
            <w:r>
              <w:t>2025-10-13</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4" w14:textId="77777777">
            <w:pPr>
              <w:spacing w:after="0"/>
            </w:pPr>
            <w:r>
              <w:t>3937</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5" w14:textId="77777777">
            <w:pPr>
              <w:spacing w:after="0"/>
            </w:pPr>
            <w:r>
              <w:t>88</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6" w14:textId="77777777">
            <w:pPr>
              <w:spacing w:after="0"/>
            </w:pPr>
            <w:r>
              <w:t>266</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7" w14:textId="77777777">
            <w:pPr>
              <w:spacing w:after="0"/>
            </w:pPr>
            <w:r>
              <w:t>3671</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8" w14:textId="77777777">
            <w:pPr>
              <w:spacing w:after="0"/>
            </w:pPr>
            <w:r>
              <w:t>93.2</w:t>
            </w:r>
          </w:p>
        </w:tc>
      </w:tr>
      <w:tr w:rsidR="00382EDF" w:rsidTr="00DB48C3" w14:paraId="123E3F50"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A" w14:textId="77777777">
            <w:pPr>
              <w:spacing w:after="0"/>
            </w:pPr>
            <w:r>
              <w:t>2025-10-14</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B" w14:textId="77777777">
            <w:pPr>
              <w:spacing w:after="0"/>
            </w:pPr>
            <w:r>
              <w:t>2967</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C" w14:textId="77777777">
            <w:pPr>
              <w:spacing w:after="0"/>
            </w:pPr>
            <w:r>
              <w:t>27</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D" w14:textId="77777777">
            <w:pPr>
              <w:spacing w:after="0"/>
            </w:pPr>
            <w:r>
              <w:t>67</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E" w14:textId="77777777">
            <w:pPr>
              <w:spacing w:after="0"/>
            </w:pPr>
            <w:r>
              <w:t>2900</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4F" w14:textId="77777777">
            <w:pPr>
              <w:spacing w:after="0"/>
            </w:pPr>
            <w:r>
              <w:t>97.7</w:t>
            </w:r>
          </w:p>
        </w:tc>
      </w:tr>
      <w:tr w:rsidR="00382EDF" w:rsidTr="00DB48C3" w14:paraId="123E3F57" w14:textId="77777777">
        <w:trPr>
          <w:cantSplit/>
          <w:trHeight w:val="20"/>
        </w:trPr>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51" w14:textId="77777777">
            <w:pPr>
              <w:spacing w:after="0"/>
            </w:pPr>
            <w:r>
              <w:t>Total</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52" w14:textId="77777777">
            <w:pPr>
              <w:spacing w:after="0"/>
            </w:pPr>
            <w:r>
              <w:t>21622</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53" w14:textId="77777777">
            <w:pPr>
              <w:spacing w:after="0"/>
            </w:pPr>
            <w:r>
              <w:t>270</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54" w14:textId="77777777">
            <w:pPr>
              <w:spacing w:after="0"/>
            </w:pPr>
            <w:r>
              <w:t>729</w:t>
            </w:r>
          </w:p>
        </w:tc>
        <w:tc>
          <w:tcPr>
            <w:tcW w:w="1620"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55" w14:textId="77777777">
            <w:pPr>
              <w:spacing w:after="0"/>
            </w:pPr>
            <w:r>
              <w:t>20893</w:t>
            </w:r>
          </w:p>
        </w:tc>
        <w:tc>
          <w:tcPr>
            <w:tcW w:w="160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DB48C3" w:rsidRDefault="005B5EF1" w14:paraId="123E3F56" w14:textId="481C71E4">
            <w:pPr>
              <w:spacing w:after="0"/>
            </w:pPr>
            <w:r>
              <w:t>96.6</w:t>
            </w:r>
          </w:p>
        </w:tc>
      </w:tr>
    </w:tbl>
    <w:p w:rsidR="00382EDF" w:rsidP="00C4758E" w:rsidRDefault="00382EDF" w14:paraId="123E3F5D" w14:textId="79FEAF41">
      <w:pPr>
        <w:pStyle w:val="Heading4"/>
        <w:keepNext w:val="0"/>
        <w:keepLines w:val="0"/>
        <w:spacing w:before="280"/>
      </w:pPr>
      <w:bookmarkStart w:name="_heading=h.ep0j9ymjc9oq" w:colFirst="0" w:colLast="0" w:id="25"/>
      <w:bookmarkStart w:name="_heading=h.x0arq8kh1jek" w:colFirst="0" w:colLast="0" w:id="26"/>
      <w:bookmarkStart w:name="_heading=h.xknfjsm8x556" w:colFirst="0" w:colLast="0" w:id="27"/>
      <w:bookmarkStart w:name="_heading=h.xc5oq6m639qd" w:colFirst="0" w:colLast="0" w:id="28"/>
      <w:bookmarkStart w:name="_heading=h.9g3l4frx636l" w:colFirst="0" w:colLast="0" w:id="29"/>
      <w:bookmarkStart w:name="_heading=h.p4mn4pp8kqs" w:colFirst="0" w:colLast="0" w:id="30"/>
      <w:bookmarkEnd w:id="25"/>
      <w:bookmarkEnd w:id="26"/>
      <w:bookmarkEnd w:id="27"/>
      <w:bookmarkEnd w:id="28"/>
      <w:bookmarkEnd w:id="29"/>
      <w:bookmarkEnd w:id="30"/>
    </w:p>
    <w:p w:rsidR="00382EDF" w:rsidRDefault="005B5EF1" w14:paraId="123E3F81" w14:textId="77777777">
      <w:pPr>
        <w:pStyle w:val="Heading3"/>
      </w:pPr>
      <w:bookmarkStart w:name="_heading=h.aib1ac1zydfm" w:colFirst="0" w:colLast="0" w:id="31"/>
      <w:bookmarkEnd w:id="31"/>
      <w:r>
        <w:t>Risk Assessment Trends</w:t>
      </w:r>
    </w:p>
    <w:p w:rsidR="00382EDF" w:rsidRDefault="005B5EF1" w14:paraId="123E3F82" w14:textId="77777777">
      <w:pPr>
        <w:spacing w:before="240" w:after="240" w:line="276" w:lineRule="auto"/>
      </w:pPr>
      <w:r>
        <w:t xml:space="preserve">Independent welfare risk assessments conducted across early, mid, and later project phases demonstrated a marked reduction in required interventions and severity ratings. Early assessments identified </w:t>
      </w:r>
      <w:proofErr w:type="gramStart"/>
      <w:r>
        <w:t>a large number of</w:t>
      </w:r>
      <w:proofErr w:type="gramEnd"/>
      <w:r>
        <w:t xml:space="preserve"> high-severity concerns across infrastructure, handling, and euthanasia practices. Mid-phase assessments reflected stabilisation, with fewer required interventions and a shift toward medium-severity issues. In the later project phase, </w:t>
      </w:r>
      <w:proofErr w:type="gramStart"/>
      <w:r>
        <w:t>the majority of</w:t>
      </w:r>
      <w:proofErr w:type="gramEnd"/>
      <w:r>
        <w:t xml:space="preserve"> risks were either resolved or limited to optimisation refinements rather than systemic deficiencies.</w:t>
      </w:r>
    </w:p>
    <w:p w:rsidR="00382EDF" w:rsidRDefault="005B5EF1" w14:paraId="123E3F83" w14:textId="77777777">
      <w:pPr>
        <w:spacing w:before="240" w:after="240" w:line="276" w:lineRule="auto"/>
      </w:pPr>
      <w:r>
        <w:t>During this period, the facility underwent ownership transition. While this created temporary throughput reduction and operational disruption, it also coincided with stronger governance alignment and reinforcement of welfare expectations. Certification under AAWCS was restored and subsequently maintained, with only minor audit clarifications noted in recent assessments.</w:t>
      </w:r>
    </w:p>
    <w:p w:rsidR="00382EDF" w:rsidRDefault="005B5EF1" w14:paraId="123E3F84" w14:textId="77777777">
      <w:pPr>
        <w:spacing w:before="240" w:after="240" w:line="276" w:lineRule="auto"/>
      </w:pPr>
      <w:r>
        <w:t>Importantly, improvements observed during Phase 3 cannot be attributed solely to AI detection capability. The results reflect combined effects of infrastructure investment, structured manual logging, leadership reinforcement, formalisation of corrective action processes, and integration of monitoring outputs into daily operational decision-making.</w:t>
      </w:r>
    </w:p>
    <w:p w:rsidR="00382EDF" w:rsidRDefault="00382EDF" w14:paraId="123E3F88" w14:textId="77777777">
      <w:pPr>
        <w:pStyle w:val="Heading4"/>
      </w:pPr>
      <w:bookmarkStart w:name="_heading=h.7m7l6g5lsecc" w:colFirst="0" w:colLast="0" w:id="32"/>
      <w:bookmarkStart w:name="_heading=h.l8t7o52facux" w:colFirst="0" w:colLast="0" w:id="33"/>
      <w:bookmarkStart w:name="_heading=h.1x197mlspz15" w:colFirst="0" w:colLast="0" w:id="34"/>
      <w:bookmarkStart w:name="_heading=h.c4vcv7hmmbbw" w:colFirst="0" w:colLast="0" w:id="35"/>
      <w:bookmarkEnd w:id="32"/>
      <w:bookmarkEnd w:id="33"/>
      <w:bookmarkEnd w:id="34"/>
      <w:bookmarkEnd w:id="35"/>
    </w:p>
    <w:p w:rsidR="00382EDF" w:rsidRDefault="005B5EF1" w14:paraId="123E3F89" w14:textId="6646BE68">
      <w:pPr>
        <w:pStyle w:val="Heading4"/>
      </w:pPr>
      <w:bookmarkStart w:name="_heading=h.krgp89u0f8ys" w:colFirst="0" w:colLast="0" w:id="36"/>
      <w:bookmarkEnd w:id="36"/>
      <w:r>
        <w:t>Table 2. Compliance Risk Rating Trends (Impetus risk assessments)</w:t>
      </w:r>
    </w:p>
    <w:tbl>
      <w:tblPr>
        <w:tblStyle w:val="aff3"/>
        <w:tblW w:w="9745" w:type="dxa"/>
        <w:tblBorders>
          <w:top w:val="nil"/>
          <w:left w:val="nil"/>
          <w:bottom w:val="nil"/>
          <w:right w:val="nil"/>
          <w:insideH w:val="nil"/>
          <w:insideV w:val="nil"/>
        </w:tblBorders>
        <w:tblLayout w:type="fixed"/>
        <w:tblLook w:val="0600" w:firstRow="0" w:lastRow="0" w:firstColumn="0" w:lastColumn="0" w:noHBand="1" w:noVBand="1"/>
      </w:tblPr>
      <w:tblGrid>
        <w:gridCol w:w="1565"/>
        <w:gridCol w:w="1549"/>
        <w:gridCol w:w="1984"/>
        <w:gridCol w:w="2694"/>
        <w:gridCol w:w="1953"/>
      </w:tblGrid>
      <w:tr w:rsidR="00382EDF" w:rsidTr="00065131" w14:paraId="123E3F8F" w14:textId="77777777">
        <w:trPr>
          <w:trHeight w:val="785"/>
        </w:trPr>
        <w:tc>
          <w:tcPr>
            <w:tcW w:w="156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8A" w14:textId="6EE5696A">
            <w:pPr>
              <w:spacing w:after="0"/>
            </w:pPr>
            <w:r>
              <w:rPr>
                <w:b/>
                <w:bCs/>
              </w:rPr>
              <w:t>Period</w:t>
            </w:r>
          </w:p>
        </w:tc>
        <w:tc>
          <w:tcPr>
            <w:tcW w:w="1549"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8B" w14:textId="77777777">
            <w:pPr>
              <w:spacing w:after="0"/>
            </w:pPr>
            <w:r>
              <w:rPr>
                <w:b/>
                <w:bCs/>
              </w:rPr>
              <w:t>Required interventions</w:t>
            </w:r>
          </w:p>
        </w:tc>
        <w:tc>
          <w:tcPr>
            <w:tcW w:w="1984"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8C" w14:textId="77777777">
            <w:pPr>
              <w:spacing w:after="0"/>
            </w:pPr>
            <w:r>
              <w:rPr>
                <w:b/>
                <w:bCs/>
              </w:rPr>
              <w:t>Severity Profile</w:t>
            </w:r>
          </w:p>
        </w:tc>
        <w:tc>
          <w:tcPr>
            <w:tcW w:w="2694"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8D" w14:textId="77777777">
            <w:pPr>
              <w:spacing w:after="0"/>
            </w:pPr>
            <w:r>
              <w:rPr>
                <w:b/>
                <w:bCs/>
              </w:rPr>
              <w:t>Key Issues</w:t>
            </w:r>
          </w:p>
        </w:tc>
        <w:tc>
          <w:tcPr>
            <w:tcW w:w="1953"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8E" w14:textId="77777777">
            <w:pPr>
              <w:spacing w:after="0"/>
            </w:pPr>
            <w:r>
              <w:rPr>
                <w:b/>
                <w:bCs/>
              </w:rPr>
              <w:t>Summary</w:t>
            </w:r>
          </w:p>
        </w:tc>
      </w:tr>
      <w:tr w:rsidR="00382EDF" w:rsidTr="00065131" w14:paraId="123E3F95" w14:textId="77777777">
        <w:trPr>
          <w:trHeight w:val="1055"/>
        </w:trPr>
        <w:tc>
          <w:tcPr>
            <w:tcW w:w="156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0" w14:textId="77777777">
            <w:pPr>
              <w:spacing w:after="0"/>
            </w:pPr>
            <w:r>
              <w:rPr>
                <w:b/>
                <w:bCs/>
              </w:rPr>
              <w:t>Early phase</w:t>
            </w:r>
            <w:r>
              <w:t xml:space="preserve"> (Months 1–2)</w:t>
            </w:r>
          </w:p>
        </w:tc>
        <w:tc>
          <w:tcPr>
            <w:tcW w:w="1549"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1" w14:textId="77777777">
            <w:pPr>
              <w:spacing w:after="0"/>
              <w:ind w:left="720" w:hanging="360"/>
            </w:pPr>
            <w:r>
              <w:t>23</w:t>
            </w:r>
          </w:p>
        </w:tc>
        <w:tc>
          <w:tcPr>
            <w:tcW w:w="1984"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2" w14:textId="77777777">
            <w:pPr>
              <w:spacing w:after="0"/>
            </w:pPr>
            <w:r>
              <w:t>High</w:t>
            </w:r>
          </w:p>
        </w:tc>
        <w:tc>
          <w:tcPr>
            <w:tcW w:w="2694"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3" w14:textId="77777777">
            <w:pPr>
              <w:spacing w:after="0"/>
            </w:pPr>
            <w:r>
              <w:t>Infrastructure issues, handling practices, euthanasia practices, class specific issues, use of goads, use of handling aids</w:t>
            </w:r>
          </w:p>
        </w:tc>
        <w:tc>
          <w:tcPr>
            <w:tcW w:w="1953"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4" w14:textId="77777777">
            <w:pPr>
              <w:spacing w:after="0"/>
            </w:pPr>
            <w:r>
              <w:t>Facility under heavy regulatory scrutiny</w:t>
            </w:r>
          </w:p>
        </w:tc>
      </w:tr>
      <w:tr w:rsidR="00382EDF" w:rsidTr="00065131" w14:paraId="123E3F9B" w14:textId="77777777">
        <w:trPr>
          <w:trHeight w:val="1055"/>
        </w:trPr>
        <w:tc>
          <w:tcPr>
            <w:tcW w:w="156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6" w14:textId="77777777">
            <w:pPr>
              <w:spacing w:after="0"/>
            </w:pPr>
            <w:r>
              <w:rPr>
                <w:b/>
                <w:bCs/>
              </w:rPr>
              <w:t>Mid-phase</w:t>
            </w:r>
            <w:r>
              <w:t xml:space="preserve"> (Months 3–6)</w:t>
            </w:r>
          </w:p>
        </w:tc>
        <w:tc>
          <w:tcPr>
            <w:tcW w:w="1549"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7" w14:textId="77777777">
            <w:pPr>
              <w:spacing w:after="0"/>
              <w:ind w:left="720" w:hanging="360"/>
            </w:pPr>
            <w:r>
              <w:t>7</w:t>
            </w:r>
          </w:p>
        </w:tc>
        <w:tc>
          <w:tcPr>
            <w:tcW w:w="1984"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8" w14:textId="77777777">
            <w:pPr>
              <w:spacing w:after="0"/>
            </w:pPr>
            <w:r>
              <w:t>Medium</w:t>
            </w:r>
          </w:p>
        </w:tc>
        <w:tc>
          <w:tcPr>
            <w:tcW w:w="2694"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9" w14:textId="77777777">
            <w:pPr>
              <w:spacing w:after="0"/>
            </w:pPr>
            <w:r>
              <w:t>Species-specific (industry) issues, restraint issues fixed, major unloading issues fixed</w:t>
            </w:r>
          </w:p>
        </w:tc>
        <w:tc>
          <w:tcPr>
            <w:tcW w:w="1953"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A" w14:textId="77777777">
            <w:pPr>
              <w:spacing w:after="0"/>
            </w:pPr>
            <w:r>
              <w:t>AWO role stabilised; AI/CCTV partially implemented</w:t>
            </w:r>
          </w:p>
        </w:tc>
      </w:tr>
      <w:tr w:rsidR="00382EDF" w:rsidTr="00065131" w14:paraId="123E3FA1" w14:textId="77777777">
        <w:trPr>
          <w:trHeight w:val="1340"/>
        </w:trPr>
        <w:tc>
          <w:tcPr>
            <w:tcW w:w="1565"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C" w14:textId="77777777">
            <w:pPr>
              <w:spacing w:after="0"/>
            </w:pPr>
            <w:r>
              <w:rPr>
                <w:b/>
                <w:bCs/>
              </w:rPr>
              <w:t>End phase</w:t>
            </w:r>
            <w:r>
              <w:t xml:space="preserve"> (Months 7–12)</w:t>
            </w:r>
          </w:p>
        </w:tc>
        <w:tc>
          <w:tcPr>
            <w:tcW w:w="1549"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D" w14:textId="77777777">
            <w:pPr>
              <w:spacing w:after="0"/>
              <w:ind w:left="720" w:hanging="360"/>
            </w:pPr>
            <w:r>
              <w:t>3</w:t>
            </w:r>
          </w:p>
        </w:tc>
        <w:tc>
          <w:tcPr>
            <w:tcW w:w="1984"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E" w14:textId="77777777">
            <w:pPr>
              <w:spacing w:after="0"/>
            </w:pPr>
            <w:proofErr w:type="spellStart"/>
            <w:r>
              <w:t>Incl</w:t>
            </w:r>
            <w:proofErr w:type="spellEnd"/>
            <w:r>
              <w:t xml:space="preserve"> wider industry related issues</w:t>
            </w:r>
          </w:p>
        </w:tc>
        <w:tc>
          <w:tcPr>
            <w:tcW w:w="2694"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9F" w14:textId="77777777">
            <w:pPr>
              <w:spacing w:after="0"/>
            </w:pPr>
            <w:r>
              <w:t>Testing new drafting, installation of new unloading ramp, testing of v-restraint modifications, optimisation issues reporting, training refinement</w:t>
            </w:r>
          </w:p>
        </w:tc>
        <w:tc>
          <w:tcPr>
            <w:tcW w:w="1953"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tcPr>
          <w:p w:rsidR="00382EDF" w:rsidP="00065131" w:rsidRDefault="005B5EF1" w14:paraId="123E3FA0" w14:textId="4EA6C521">
            <w:pPr>
              <w:spacing w:after="0"/>
            </w:pPr>
            <w:r>
              <w:t>Certification restored; cultural turnaround visible; replacement of old system with digital system underway</w:t>
            </w:r>
          </w:p>
        </w:tc>
      </w:tr>
    </w:tbl>
    <w:p w:rsidR="00382EDF" w:rsidRDefault="005B5EF1" w14:paraId="123E3FA2" w14:textId="77777777">
      <w:pPr>
        <w:pStyle w:val="Heading2"/>
      </w:pPr>
      <w:bookmarkStart w:name="_heading=h.juc5h7mbyprt" w:colFirst="0" w:colLast="0" w:id="37"/>
      <w:bookmarkEnd w:id="37"/>
      <w:r>
        <w:t>6.4 Phase 4 – Data Security and Governance Findings</w:t>
      </w:r>
    </w:p>
    <w:p w:rsidR="00382EDF" w:rsidRDefault="005B5EF1" w14:paraId="123E3FA3" w14:textId="77777777">
      <w:pPr>
        <w:spacing w:before="240" w:after="240"/>
      </w:pPr>
      <w:r>
        <w:t>Parallel to welfare trend stabilisation, a comprehensive data security review was conducted. The review identified that, while the deployed system at the facility aligned with several recommended best practices, including on premises processing, restricted vendor access, and system health monitoring, broader industry vulnerabilities remain significant.</w:t>
      </w:r>
    </w:p>
    <w:p w:rsidR="00382EDF" w:rsidRDefault="005B5EF1" w14:paraId="123E3FA4" w14:textId="77777777">
      <w:pPr>
        <w:spacing w:before="240" w:after="240"/>
      </w:pPr>
      <w:r>
        <w:t>Common risks identified across the sector include lack of network segmentation, persistent use of default device credentials, insufficient access lifecycle management, and absence of formal incident response procedures. The project therefore produced a detailed surveillance security checklist and industry guidance materials addressing both technical controls and governance frameworks.</w:t>
      </w:r>
    </w:p>
    <w:p w:rsidR="00382EDF" w:rsidRDefault="005B5EF1" w14:paraId="123E3FA5" w14:textId="77777777">
      <w:pPr>
        <w:spacing w:before="240" w:after="240"/>
      </w:pPr>
      <w:r>
        <w:t>Within the facility, security controls were strengthened to ensure restricted system access, defined retention parameters, and monitoring of system integrity. The recognition that welfare monitoring data constitutes a sensitive operational asset was an important outcome of this phase. As surveillance maturity increases, so too does the importance of structured data governance and risk mitigation.</w:t>
      </w:r>
    </w:p>
    <w:p w:rsidR="00382EDF" w:rsidRDefault="005B5EF1" w14:paraId="123E3FA6" w14:textId="77777777">
      <w:pPr>
        <w:pStyle w:val="Heading2"/>
      </w:pPr>
      <w:bookmarkStart w:name="_heading=h.feawvsvjyqhd" w:colFirst="0" w:colLast="0" w:id="38"/>
      <w:bookmarkEnd w:id="38"/>
      <w:r>
        <w:t>6.5 Phase 5 – Case Study Development and Consolidated Outcomes</w:t>
      </w:r>
    </w:p>
    <w:p w:rsidR="00382EDF" w:rsidRDefault="005B5EF1" w14:paraId="123E3FA7" w14:textId="77777777">
      <w:pPr>
        <w:spacing w:before="240" w:after="240"/>
      </w:pPr>
      <w:r>
        <w:t xml:space="preserve">By the conclusion of the project period, the facility had transitioned from a position of regulatory instability to one of sustained compliance and reduced welfare risk profile. Full AAWCS certification had been restored. Staff demonstrated routine use of structured KPI logging and dashboard review. Training tools developed during the project were integrated into daily operations and used to reinforce stun placement techniques and </w:t>
      </w:r>
      <w:proofErr w:type="gramStart"/>
      <w:r>
        <w:t>species specific</w:t>
      </w:r>
      <w:proofErr w:type="gramEnd"/>
      <w:r>
        <w:t xml:space="preserve"> handling approaches.</w:t>
      </w:r>
    </w:p>
    <w:p w:rsidR="00382EDF" w:rsidRDefault="005B5EF1" w14:paraId="123E3FA8" w14:textId="77777777">
      <w:pPr>
        <w:spacing w:before="240" w:after="240"/>
      </w:pPr>
      <w:r>
        <w:t xml:space="preserve">The AI enabled system at this stage was capable of livestock counting with high accuracy, detection of dropped carcasses, logging of captive bolt device access, integration of electrical stun parameters, mortality logging, and support for structured review of stun placement. Fully automated behavioural interpretation across all welfare domains was not </w:t>
      </w:r>
      <w:proofErr w:type="gramStart"/>
      <w:r>
        <w:t>achieved, and</w:t>
      </w:r>
      <w:proofErr w:type="gramEnd"/>
      <w:r>
        <w:t xml:space="preserve"> was not required to produce measurable welfare improvement.</w:t>
      </w:r>
    </w:p>
    <w:p w:rsidR="00382EDF" w:rsidRDefault="005B5EF1" w14:paraId="123E3FA9" w14:textId="77777777">
      <w:pPr>
        <w:spacing w:before="240" w:after="240"/>
      </w:pPr>
      <w:r>
        <w:t xml:space="preserve">The most significant outcome across the full project timeline was the shift from episodic, </w:t>
      </w:r>
      <w:proofErr w:type="gramStart"/>
      <w:r>
        <w:t>paper based</w:t>
      </w:r>
      <w:proofErr w:type="gramEnd"/>
      <w:r>
        <w:t xml:space="preserve"> oversight to structured, continuous, </w:t>
      </w:r>
      <w:proofErr w:type="gramStart"/>
      <w:r>
        <w:t>multi input</w:t>
      </w:r>
      <w:proofErr w:type="gramEnd"/>
      <w:r>
        <w:t xml:space="preserve"> monitoring supported by defined corrective action processes. Technology functioned as an enabling mechanism within this broader organisational reform rather than as a standalone solution.</w:t>
      </w:r>
    </w:p>
    <w:p w:rsidR="00382EDF" w:rsidRDefault="005B5EF1" w14:paraId="123E3FAA" w14:textId="77777777">
      <w:pPr>
        <w:pStyle w:val="Heading1"/>
        <w:numPr>
          <w:ilvl w:val="0"/>
          <w:numId w:val="7"/>
        </w:numPr>
        <w:ind w:left="709" w:hanging="709"/>
      </w:pPr>
      <w:bookmarkStart w:name="_heading=h.m5p05vyvkfnj" w:colFirst="0" w:colLast="0" w:id="39"/>
      <w:bookmarkEnd w:id="39"/>
      <w:r>
        <w:t>Discussion</w:t>
      </w:r>
    </w:p>
    <w:p w:rsidR="00382EDF" w:rsidRDefault="005B5EF1" w14:paraId="123E3FAB" w14:textId="77777777">
      <w:pPr>
        <w:pStyle w:val="Heading2"/>
        <w:spacing w:before="240" w:after="240" w:line="276" w:lineRule="auto"/>
        <w:rPr>
          <w:sz w:val="34"/>
          <w:szCs w:val="34"/>
        </w:rPr>
      </w:pPr>
      <w:bookmarkStart w:name="_heading=h.ado8ukhylzvr" w:colFirst="0" w:colLast="0" w:id="40"/>
      <w:bookmarkEnd w:id="40"/>
      <w:r>
        <w:t xml:space="preserve"> </w:t>
      </w:r>
      <w:r>
        <w:rPr>
          <w:sz w:val="34"/>
          <w:szCs w:val="34"/>
        </w:rPr>
        <w:t>7.1 Interpreting the Role of AI in Multi-Species Abattoirs</w:t>
      </w:r>
    </w:p>
    <w:p w:rsidR="00382EDF" w:rsidRDefault="005B5EF1" w14:paraId="123E3FAC" w14:textId="77777777">
      <w:pPr>
        <w:spacing w:before="240" w:after="240" w:line="276" w:lineRule="auto"/>
      </w:pPr>
      <w:r>
        <w:t>The findings of this project demonstrate that AI-enabled CCTV systems can materially strengthen welfare monitoring capability in multi species abattoirs, but their impact depends on how they are integrated into operational systems rather than on automation alone. The facility examined in this project achieved measurable reductions in welfare risk and restored regulatory certification during the project period. However, the pathway to improvement involved infrastructure modification, structured manual logging, workforce training, and governance alignment in addition to AI deployment.</w:t>
      </w:r>
    </w:p>
    <w:p w:rsidR="00382EDF" w:rsidRDefault="005B5EF1" w14:paraId="123E3FAD" w14:textId="77777777">
      <w:pPr>
        <w:spacing w:before="240" w:after="240" w:line="276" w:lineRule="auto"/>
      </w:pPr>
      <w:r>
        <w:t>From an industry perspective, this distinction is critical. Computer vision systems in abattoirs currently operate at an indicative level of maturity. They can detect defined, visible events such as dropped carcasses, livestock counts, and certain equipment interactions with reasonable reliability. They can also support structured video indexing and rapid review. However, they do not “understand” welfare, nor can they reliably interpret intent, subtle behavioural cues, or complex species-specific interactions in visually dense environments. In mixed small stock facilities where sheep, lambs, goats, and calves move through shared infrastructure, variability in body size, flocking behaviour, and handling patterns introduces detection complexity that exceeds current fully automated capability.</w:t>
      </w:r>
    </w:p>
    <w:p w:rsidR="00382EDF" w:rsidRDefault="005B5EF1" w14:paraId="123E3FAE" w14:textId="77777777">
      <w:pPr>
        <w:spacing w:before="240" w:after="240" w:line="276" w:lineRule="auto"/>
      </w:pPr>
      <w:r>
        <w:t>The practical implication for industry is that AI should be adopted as a structured monitoring enhancement tool rather than as a replacement for human oversight. Facilities expecting full automation without concurrent governance reform risk both disappointment and misinterpretation of outputs. In contrast, facilities using AI as part of a hybrid monitoring model which combines visual detection, sensor inputs, manual event tagging, and defined corrective action pathways, are more likely to achieve sustainable welfare improvement.</w:t>
      </w:r>
    </w:p>
    <w:p w:rsidR="00382EDF" w:rsidRDefault="005B5EF1" w14:paraId="123E3FAF" w14:textId="77777777">
      <w:pPr>
        <w:pStyle w:val="Heading2"/>
      </w:pPr>
      <w:bookmarkStart w:name="_heading=h.lx1pdbiz07br" w:colFirst="0" w:colLast="0" w:id="41"/>
      <w:bookmarkEnd w:id="41"/>
      <w:r>
        <w:t>7.2 Hybrid Monitoring as the Operationally Stable Model</w:t>
      </w:r>
    </w:p>
    <w:p w:rsidR="00382EDF" w:rsidRDefault="005B5EF1" w14:paraId="123E3FB0" w14:textId="77777777">
      <w:pPr>
        <w:spacing w:before="240" w:after="240" w:line="276" w:lineRule="auto"/>
      </w:pPr>
      <w:r>
        <w:t xml:space="preserve">One of the most important findings of this project was the emergence of a hybrid monitoring model as the most reliable configuration in practice. Manual </w:t>
      </w:r>
      <w:proofErr w:type="gramStart"/>
      <w:r>
        <w:t>clicker based</w:t>
      </w:r>
      <w:proofErr w:type="gramEnd"/>
      <w:r>
        <w:t xml:space="preserve"> logging was initially introduced to compensate for AI limitations but ultimately became foundational to establishing meaningful KPIs and operational baselines. Electrical stunning data from the Carne system provided objective, high fidelity process measurements that computer vision alone could not supply. The Animal Welfare Officer provided contextual interpretation and ensured linkage between detection and corrective action.</w:t>
      </w:r>
    </w:p>
    <w:p w:rsidR="00382EDF" w:rsidRDefault="005B5EF1" w14:paraId="123E3FB1" w14:textId="77777777">
      <w:pPr>
        <w:spacing w:before="240" w:after="240" w:line="276" w:lineRule="auto"/>
      </w:pPr>
      <w:r>
        <w:t>This layered approach reflects a principle that is highly relevant for industry: different data modalities serve different functions. Sensors provide stable time series measurements and objective thresholds. Computer vision provides behavioural context and searchable video evidence. Manual logging provides human judgement and captures nuanced events that automated systems may miss. Together, these inputs produce a more defensible and operationally useful dataset than any single system alone.</w:t>
      </w:r>
    </w:p>
    <w:p w:rsidR="00382EDF" w:rsidRDefault="005B5EF1" w14:paraId="123E3FB2" w14:textId="77777777">
      <w:pPr>
        <w:spacing w:before="240" w:after="240" w:line="276" w:lineRule="auto"/>
      </w:pPr>
      <w:r>
        <w:t>For processors considering investment in AI systems, this finding has practical implications for budgeting and planning. Investment should not focus exclusively on camera density or model sophistication. Equal attention must be paid to structured KPI definition, training for manual logging, integration of sensor data, and dashboard workflows that connect detection to corrective action. Without these elements, monitoring systems risk becoming passive recording tools rather than active management instruments.</w:t>
      </w:r>
    </w:p>
    <w:p w:rsidR="00382EDF" w:rsidRDefault="005B5EF1" w14:paraId="123E3FB3" w14:textId="77777777">
      <w:pPr>
        <w:pStyle w:val="Heading2"/>
      </w:pPr>
      <w:bookmarkStart w:name="_heading=h.h6nagpwi0jrz" w:colFirst="0" w:colLast="0" w:id="42"/>
      <w:bookmarkEnd w:id="42"/>
      <w:r>
        <w:t>7.3 Governance and Leadership as Mediators of Technology Impact</w:t>
      </w:r>
    </w:p>
    <w:p w:rsidR="00382EDF" w:rsidRDefault="005B5EF1" w14:paraId="123E3FB4" w14:textId="77777777">
      <w:pPr>
        <w:spacing w:before="240" w:after="240" w:line="276" w:lineRule="auto"/>
      </w:pPr>
      <w:r>
        <w:t>The project period coincided with ownership transition and leadership reform at the facility. Independent review conducted during the later stages of the project identified that many early welfare risks were associated with fragmented governance, inconsistent escalation pathways, and reliance on individual competence rather than structured systems. As leadership alignment improved and the AWO role stabilised, the monitoring system became embedded within daily operational routines.</w:t>
      </w:r>
    </w:p>
    <w:p w:rsidR="00382EDF" w:rsidRDefault="005B5EF1" w14:paraId="123E3FB5" w14:textId="77777777">
      <w:pPr>
        <w:spacing w:before="240" w:after="240" w:line="276" w:lineRule="auto"/>
      </w:pPr>
      <w:r>
        <w:t>This sequence highlights a practical industry lesson: technology does not substitute for governance coherence. The presence of cameras, dashboards, and AI models does not automatically strengthen welfare outcomes if escalation pathways are unclear or corrective actions are informal and undocumented. Conversely, when leadership reinforces expectations, reviews data consistently, and formalises retraining triggers, monitoring technology becomes a powerful reinforcement tool.</w:t>
      </w:r>
    </w:p>
    <w:p w:rsidR="00382EDF" w:rsidRDefault="005B5EF1" w14:paraId="123E3FB6" w14:textId="77777777">
      <w:pPr>
        <w:spacing w:before="240" w:after="240" w:line="276" w:lineRule="auto"/>
      </w:pPr>
      <w:r>
        <w:t>For regulators and certification bodies, this distinction also warrants consideration. The existence of AI or CCTV infrastructure should not be interpreted as equivalent to operational maturity. Evaluation of monitoring systems should examine not only technological capability but also integration into documented management systems, defined thresholds for intervention, and evidence traceability linking observation to corrective action.</w:t>
      </w:r>
    </w:p>
    <w:p w:rsidR="00382EDF" w:rsidRDefault="005B5EF1" w14:paraId="123E3FB7" w14:textId="77777777">
      <w:pPr>
        <w:pStyle w:val="Heading2"/>
      </w:pPr>
      <w:bookmarkStart w:name="_heading=h.lj31uijiu24" w:colFirst="0" w:colLast="0" w:id="43"/>
      <w:bookmarkEnd w:id="43"/>
      <w:r>
        <w:t>7.4 Measurable Welfare Improvements and Their Drivers</w:t>
      </w:r>
    </w:p>
    <w:p w:rsidR="00382EDF" w:rsidRDefault="005B5EF1" w14:paraId="123E3FB8" w14:textId="77777777">
      <w:pPr>
        <w:spacing w:before="240" w:after="240" w:line="276" w:lineRule="auto"/>
      </w:pPr>
      <w:r>
        <w:t>The measurable improvements observed during the project including reductions in dropped carcasses, stabilisation of stun performance, improved mortality tracking, and restoration of certification, were driven by a combination of factors. Infrastructure modifications to the v-restraint and unloading ramp reduced physical congestion and animal agitation. Slower chain speeds reduced operational pressure during stun cycles. Integration of stunner data enabled objective performance review. Structured logging increased visibility of repeat issues. Training tools reinforced correct technique.</w:t>
      </w:r>
    </w:p>
    <w:p w:rsidR="00382EDF" w:rsidRDefault="005B5EF1" w14:paraId="123E3FB9" w14:textId="77777777">
      <w:pPr>
        <w:spacing w:before="240" w:after="240" w:line="276" w:lineRule="auto"/>
      </w:pPr>
      <w:r>
        <w:t>While AI detection contributed to trend visibility, many of the most substantial welfare gains followed operational and behavioural changes rather than algorithmic refinement. This is not a limitation of AI but a reflection of the fact that welfare risks in abattoirs are often systemic rather than purely observational. Monitoring systems can reveal patterns, but correction requires human decision making and infrastructure investment.</w:t>
      </w:r>
    </w:p>
    <w:p w:rsidR="00382EDF" w:rsidRDefault="005B5EF1" w14:paraId="123E3FBA" w14:textId="77777777">
      <w:pPr>
        <w:spacing w:before="240" w:after="240" w:line="276" w:lineRule="auto"/>
      </w:pPr>
      <w:r>
        <w:t>For industry stakeholders, this underscores the importance of viewing AI monitoring as part of a broader welfare management system rather than as a standalone compliance solution.</w:t>
      </w:r>
    </w:p>
    <w:p w:rsidR="00382EDF" w:rsidRDefault="005B5EF1" w14:paraId="123E3FBB" w14:textId="77777777">
      <w:pPr>
        <w:pStyle w:val="Heading2"/>
      </w:pPr>
      <w:bookmarkStart w:name="_heading=h.x6mr35tyq15c" w:colFirst="0" w:colLast="0" w:id="44"/>
      <w:bookmarkEnd w:id="44"/>
      <w:r>
        <w:t>7.5 Data Security and Monitoring Maturity</w:t>
      </w:r>
    </w:p>
    <w:p w:rsidR="00382EDF" w:rsidRDefault="005B5EF1" w14:paraId="123E3FBC" w14:textId="77777777">
      <w:pPr>
        <w:spacing w:before="240" w:after="240" w:line="276" w:lineRule="auto"/>
      </w:pPr>
      <w:r>
        <w:t>As monitoring systems become more continuous and data rich, surveillance data itself becomes a sensitive operational asset. The data security review conducted as part of this project identified common industry vulnerabilities including limited network segmentation, shared device credentials, informal access control, and absence of documented incident response procedures. These vulnerabilities are not unique to this facility but reflect broader sector maturity challenges.</w:t>
      </w:r>
    </w:p>
    <w:p w:rsidR="00382EDF" w:rsidRDefault="005B5EF1" w14:paraId="123E3FBD" w14:textId="77777777">
      <w:pPr>
        <w:spacing w:before="240" w:after="240" w:line="276" w:lineRule="auto"/>
      </w:pPr>
      <w:r>
        <w:t>The practical implication is that monitoring maturity must be accompanied by security maturity. Facilities adopting AI and CCTV systems should implement, at minimum, segmented network architecture, strict credential management, defined data retention policies, and controlled vendor access frameworks. Failure to do so exposes processors not only to cyber risk but also to reputational and regulatory vulnerability should footage be misused or misinterpreted outside operational context.</w:t>
      </w:r>
    </w:p>
    <w:p w:rsidR="00382EDF" w:rsidRDefault="005B5EF1" w14:paraId="123E3FBE" w14:textId="77777777">
      <w:pPr>
        <w:spacing w:before="240" w:after="240" w:line="276" w:lineRule="auto"/>
      </w:pPr>
      <w:r>
        <w:t>The industry guidance materials developed during this project provide a structured starting point. However, widespread uplift will require ongoing education for plant managers, IT personnel, and executive leadership.</w:t>
      </w:r>
    </w:p>
    <w:p w:rsidR="00382EDF" w:rsidRDefault="005B5EF1" w14:paraId="123E3FBF" w14:textId="77777777">
      <w:pPr>
        <w:pStyle w:val="Heading2"/>
      </w:pPr>
      <w:bookmarkStart w:name="_heading=h.kjyjcvjba4m2" w:colFirst="0" w:colLast="0" w:id="45"/>
      <w:bookmarkEnd w:id="45"/>
      <w:r>
        <w:t>7.6 Implications for Proportionate Investment</w:t>
      </w:r>
    </w:p>
    <w:p w:rsidR="00382EDF" w:rsidRDefault="005B5EF1" w14:paraId="123E3FC0" w14:textId="77777777">
      <w:pPr>
        <w:spacing w:before="240" w:after="240" w:line="276" w:lineRule="auto"/>
      </w:pPr>
      <w:r>
        <w:t>A recurring theme throughout the project was the risk of overinvestment driven by misunderstanding of AI capability. Fully assured, near complete detection systems require overlapping camera coverage, tightly controlled lighting, extensive labelled datasets, and ongoing model maintenance. Such systems are technically possible but operationally expensive and not necessary for most welfare improvement objectives.</w:t>
      </w:r>
    </w:p>
    <w:p w:rsidR="00382EDF" w:rsidRDefault="005B5EF1" w14:paraId="123E3FC1" w14:textId="77777777">
      <w:pPr>
        <w:spacing w:before="240" w:after="240" w:line="276" w:lineRule="auto"/>
      </w:pPr>
      <w:r>
        <w:t xml:space="preserve">Indicative systems, when properly integrated into governance processes, provide substantial benefit at lower cost and complexity. For </w:t>
      </w:r>
      <w:proofErr w:type="gramStart"/>
      <w:r>
        <w:t>the majority of</w:t>
      </w:r>
      <w:proofErr w:type="gramEnd"/>
      <w:r>
        <w:t xml:space="preserve"> small and medium sized processors, the objective should be structured visibility and trend identification rather than automation of every welfare decision point.</w:t>
      </w:r>
    </w:p>
    <w:p w:rsidR="00382EDF" w:rsidRDefault="005B5EF1" w14:paraId="123E3FC2" w14:textId="77777777">
      <w:pPr>
        <w:spacing w:before="240" w:after="240" w:line="276" w:lineRule="auto"/>
      </w:pPr>
      <w:r>
        <w:t xml:space="preserve">From an R&amp;D perspective, further development of </w:t>
      </w:r>
      <w:proofErr w:type="gramStart"/>
      <w:r>
        <w:t>species specific</w:t>
      </w:r>
      <w:proofErr w:type="gramEnd"/>
      <w:r>
        <w:t xml:space="preserve"> behaviour models, improved stun placement detection, and unloading risk recognition would strengthen capability in multi-species environments. However, these advancements should complement (not replace) structured management systems.</w:t>
      </w:r>
    </w:p>
    <w:p w:rsidR="00382EDF" w:rsidRDefault="005B5EF1" w14:paraId="123E3FC3" w14:textId="77777777">
      <w:pPr>
        <w:pStyle w:val="Heading2"/>
      </w:pPr>
      <w:bookmarkStart w:name="_heading=h.xi2a6xywgped" w:colFirst="0" w:colLast="0" w:id="46"/>
      <w:bookmarkEnd w:id="46"/>
      <w:r>
        <w:t>7.7 Integration with Independent Operational Review</w:t>
      </w:r>
    </w:p>
    <w:p w:rsidR="00382EDF" w:rsidRDefault="005B5EF1" w14:paraId="123E3FC4" w14:textId="77777777">
      <w:pPr>
        <w:spacing w:before="240" w:after="240" w:line="276" w:lineRule="auto"/>
      </w:pPr>
      <w:r>
        <w:t xml:space="preserve">The independent Operational Assurance Discovery Report conducted during the later stages of the project provided additional context for interpreting the results. While separate from the formal project milestones, the review identified areas where evidence continuity, competence resilience, and cross-department governance required strengthening. Notably, it highlighted that reliance on individual expertise without structured evidence capture can create fragility in </w:t>
      </w:r>
      <w:proofErr w:type="gramStart"/>
      <w:r>
        <w:t>high risk</w:t>
      </w:r>
      <w:proofErr w:type="gramEnd"/>
      <w:r>
        <w:t xml:space="preserve"> operations.</w:t>
      </w:r>
    </w:p>
    <w:p w:rsidR="00382EDF" w:rsidRDefault="005B5EF1" w14:paraId="123E3FC5" w14:textId="77777777">
      <w:pPr>
        <w:spacing w:before="240" w:after="240" w:line="276" w:lineRule="auto"/>
      </w:pPr>
      <w:r>
        <w:t>These findings reinforce the central observation of this project: monitoring systems increase visibility, but sustained performance depends on consistent documentation, retraining triggers, leadership alignment, and role clarity. The Discovery Report will be appended to the confidential version of this Final Report to provide contextual reference.</w:t>
      </w:r>
    </w:p>
    <w:p w:rsidR="00382EDF" w:rsidRDefault="005B5EF1" w14:paraId="123E3FC6" w14:textId="77777777">
      <w:pPr>
        <w:pStyle w:val="Heading2"/>
      </w:pPr>
      <w:bookmarkStart w:name="_heading=h.wnbq2bn736d7" w:colFirst="0" w:colLast="0" w:id="47"/>
      <w:bookmarkEnd w:id="47"/>
      <w:r>
        <w:t>7.8 Summary of Industry-Relevant Insights</w:t>
      </w:r>
    </w:p>
    <w:p w:rsidR="00382EDF" w:rsidRDefault="005B5EF1" w14:paraId="123E3FC7" w14:textId="77777777">
      <w:pPr>
        <w:spacing w:before="240" w:after="240" w:line="276" w:lineRule="auto"/>
      </w:pPr>
      <w:r>
        <w:t>In practical terms, this project suggests that for multi-species abattoirs:</w:t>
      </w:r>
    </w:p>
    <w:p w:rsidR="00382EDF" w:rsidRDefault="005B5EF1" w14:paraId="123E3FC8" w14:textId="77777777">
      <w:pPr>
        <w:numPr>
          <w:ilvl w:val="0"/>
          <w:numId w:val="4"/>
        </w:numPr>
        <w:spacing w:before="240" w:after="0" w:line="276" w:lineRule="auto"/>
      </w:pPr>
      <w:r>
        <w:t>AI enabled CCTV is most effective when implemented as part of a hybrid monitoring model.</w:t>
      </w:r>
    </w:p>
    <w:p w:rsidR="00382EDF" w:rsidRDefault="005B5EF1" w14:paraId="123E3FC9" w14:textId="77777777">
      <w:pPr>
        <w:numPr>
          <w:ilvl w:val="0"/>
          <w:numId w:val="4"/>
        </w:numPr>
        <w:spacing w:after="0" w:line="276" w:lineRule="auto"/>
      </w:pPr>
      <w:r>
        <w:t>Manual event tagging and sensor integration significantly enhance reliability.</w:t>
      </w:r>
    </w:p>
    <w:p w:rsidR="00382EDF" w:rsidRDefault="005B5EF1" w14:paraId="123E3FCA" w14:textId="77777777">
      <w:pPr>
        <w:numPr>
          <w:ilvl w:val="0"/>
          <w:numId w:val="4"/>
        </w:numPr>
        <w:spacing w:after="0" w:line="276" w:lineRule="auto"/>
      </w:pPr>
      <w:r>
        <w:t>Infrastructure modification often produces greater welfare gains than algorithm refinement.</w:t>
      </w:r>
    </w:p>
    <w:p w:rsidR="00382EDF" w:rsidRDefault="005B5EF1" w14:paraId="123E3FCB" w14:textId="77777777">
      <w:pPr>
        <w:numPr>
          <w:ilvl w:val="0"/>
          <w:numId w:val="4"/>
        </w:numPr>
        <w:spacing w:after="0" w:line="276" w:lineRule="auto"/>
      </w:pPr>
      <w:r>
        <w:t>Leadership engagement and defined corrective action systems determine sustainability of improvements.</w:t>
      </w:r>
    </w:p>
    <w:p w:rsidR="00382EDF" w:rsidRDefault="005B5EF1" w14:paraId="123E3FCC" w14:textId="77777777">
      <w:pPr>
        <w:numPr>
          <w:ilvl w:val="0"/>
          <w:numId w:val="4"/>
        </w:numPr>
        <w:spacing w:after="0" w:line="276" w:lineRule="auto"/>
      </w:pPr>
      <w:r>
        <w:t>Cybersecurity and data governance must be embedded from the outset.</w:t>
      </w:r>
    </w:p>
    <w:p w:rsidR="00382EDF" w:rsidRDefault="005B5EF1" w14:paraId="123E3FCD" w14:textId="77777777">
      <w:pPr>
        <w:numPr>
          <w:ilvl w:val="0"/>
          <w:numId w:val="4"/>
        </w:numPr>
        <w:spacing w:after="240" w:line="276" w:lineRule="auto"/>
      </w:pPr>
      <w:r>
        <w:t>Proportionate, well integrated systems provide higher return on investment than attempts at full automation.</w:t>
      </w:r>
    </w:p>
    <w:p w:rsidR="00382EDF" w:rsidRDefault="005B5EF1" w14:paraId="123E3FCE" w14:textId="77777777">
      <w:pPr>
        <w:spacing w:before="240" w:after="240" w:line="276" w:lineRule="auto"/>
      </w:pPr>
      <w:r>
        <w:t>These conclusions are directly relevant to processors, regulators, technology vendors, and industry bodies considering future monitoring strategies.</w:t>
      </w:r>
    </w:p>
    <w:p w:rsidR="00382EDF" w:rsidRDefault="005B5EF1" w14:paraId="123E3FCF" w14:textId="77777777">
      <w:pPr>
        <w:pStyle w:val="Heading1"/>
        <w:numPr>
          <w:ilvl w:val="0"/>
          <w:numId w:val="7"/>
        </w:numPr>
        <w:ind w:left="709" w:hanging="709"/>
        <w:rPr/>
      </w:pPr>
      <w:bookmarkStart w:name="_heading=h.yc13comvzam4" w:id="48"/>
      <w:bookmarkEnd w:id="48"/>
      <w:r w:rsidR="005B5EF1">
        <w:rPr/>
        <w:t xml:space="preserve">Conclusions </w:t>
      </w:r>
    </w:p>
    <w:p w:rsidR="00382EDF" w:rsidP="2FAB49C0" w:rsidRDefault="005B5EF1" w14:textId="77777777" w14:paraId="766F64B1">
      <w:pPr>
        <w:keepNext w:val="0"/>
        <w:keepLines w:val="0"/>
        <w:spacing w:before="240" w:after="240" w:line="276" w:lineRule="auto"/>
      </w:pPr>
      <w:r w:rsidR="0F95092D">
        <w:rPr/>
        <w:t>Project 2025-1079 successfully established and deployed an AI enabled CCTV monitoring system within a complex, multi-species commercial abattoir and met the specific objectives defined in the project plan and contract. The system was installed, trained, and integrated across calves, sheep, lambs, and goats, and measurable welfare indicators were captured through a combination of computer vision, sensor integration, manual event logging, and structured review processes.</w:t>
      </w:r>
    </w:p>
    <w:p w:rsidR="00382EDF" w:rsidP="2FAB49C0" w:rsidRDefault="005B5EF1" w14:textId="77777777" w14:paraId="2B06D997">
      <w:pPr>
        <w:keepNext w:val="0"/>
        <w:keepLines w:val="0"/>
        <w:spacing w:before="240" w:after="240" w:line="276" w:lineRule="auto"/>
      </w:pPr>
      <w:r w:rsidR="0F95092D">
        <w:rPr/>
        <w:t>The project demonstrated that AI enabled monitoring systems are capable of providing continuous visibility of defined welfare indicators, supporting structured documentation, and strengthening the traceability of corrective actions. Integration of electrical stunning data and additional sensor inputs improved process level insight beyond what visual monitoring alone could provide. The development and implementation of training tools further reinforced operational competency and contributed to measurable improvements in stun performance and handling consistency.</w:t>
      </w:r>
    </w:p>
    <w:p w:rsidR="00382EDF" w:rsidP="2FAB49C0" w:rsidRDefault="005B5EF1" w14:textId="77777777" w14:paraId="6C66C63D">
      <w:pPr>
        <w:keepNext w:val="0"/>
        <w:keepLines w:val="0"/>
        <w:spacing w:before="240" w:after="240" w:line="276" w:lineRule="auto"/>
      </w:pPr>
      <w:r w:rsidR="0F95092D">
        <w:rPr/>
        <w:t>Longitudinal data collected during the project period showed reductions in dropped carcasses, stabilisation of electrical stunning performance, improved mortality tracking, and a decline in identified welfare risk severity. The facility restored and maintained full AAWCS certification during the latter stages of the project. These improvements occurred in conjunction with infrastructure modifications, structured manual KPI adoption, formalisation of the Animal Welfare Officer role, and strengthened governance processes.</w:t>
      </w:r>
    </w:p>
    <w:p w:rsidR="00382EDF" w:rsidP="2FAB49C0" w:rsidRDefault="005B5EF1" w14:textId="77777777" w14:paraId="650BBEAF">
      <w:pPr>
        <w:keepNext w:val="0"/>
        <w:keepLines w:val="0"/>
        <w:spacing w:before="240" w:after="240" w:line="276" w:lineRule="auto"/>
      </w:pPr>
      <w:r w:rsidR="0F95092D">
        <w:rPr/>
        <w:t>The findings confirm that AI systems in mixed small-stock environments operate most effectively within a hybrid monitoring model that combines automated detection with manual logging, sensor inputs, and structured oversight. Computer vision systems alone are not sufficient to capture the full complexity of welfare performance in multi species facilities; however, when integrated appropriately, they materially enhance operational transparency and management capability.</w:t>
      </w:r>
    </w:p>
    <w:p w:rsidR="00382EDF" w:rsidP="2FAB49C0" w:rsidRDefault="005B5EF1" w14:textId="77777777" w14:paraId="16E9C229">
      <w:pPr>
        <w:keepNext w:val="0"/>
        <w:keepLines w:val="0"/>
        <w:spacing w:before="240" w:after="240" w:line="276" w:lineRule="auto"/>
      </w:pPr>
      <w:r w:rsidR="0F95092D">
        <w:rPr/>
        <w:t>The project also identified that as monitoring systems mature, data governance and cybersecurity become critical enabling conditions. The structured data security review conducted as part of this project established baseline benchmarks and produced industry-facing guidance materials to support responsible deployment of surveillance and AI systems.</w:t>
      </w:r>
    </w:p>
    <w:p w:rsidR="00382EDF" w:rsidP="2FAB49C0" w:rsidRDefault="005B5EF1" w14:textId="77777777" w14:paraId="10A1DADE">
      <w:pPr>
        <w:keepNext w:val="0"/>
        <w:keepLines w:val="0"/>
        <w:spacing w:before="240" w:after="240" w:line="276" w:lineRule="auto"/>
      </w:pPr>
      <w:r w:rsidR="0F95092D">
        <w:rPr/>
        <w:t>Overall, the project provides technical validation that AI enabled CCTV systems can strengthen welfare monitoring capability in multi-species abattoirs, while also demonstrating that sustained welfare improvement depends on the integration of technology within coherent operational systems, defined corrective action pathways, and stable leadership frameworks.</w:t>
      </w:r>
    </w:p>
    <w:p w:rsidR="00382EDF" w:rsidP="2FAB49C0" w:rsidRDefault="005B5EF1" w14:textId="77777777" w14:paraId="580C126F">
      <w:pPr>
        <w:pStyle w:val="Heading1"/>
        <w:keepNext w:val="0"/>
        <w:keepLines w:val="0"/>
        <w:numPr>
          <w:ilvl w:val="0"/>
          <w:numId w:val="7"/>
        </w:numPr>
        <w:spacing w:line="360" w:lineRule="auto"/>
        <w:rPr/>
      </w:pPr>
      <w:r w:rsidR="0F95092D">
        <w:rPr/>
        <w:t>Recommendations</w:t>
      </w:r>
    </w:p>
    <w:p w:rsidR="00382EDF" w:rsidP="2FAB49C0" w:rsidRDefault="005B5EF1" w14:paraId="6CF62F51" w14:textId="310F4EBD">
      <w:pPr>
        <w:keepNext w:val="0"/>
        <w:keepLines w:val="0"/>
        <w:spacing w:after="0" w:line="360" w:lineRule="auto"/>
      </w:pPr>
      <w:r w:rsidR="0F95092D">
        <w:rPr/>
        <w:t>The findings of Project 2025-1079 have implications that extend beyond the participating facility. The project demonstrated that AI-enabled monitoring systems can materially strengthen welfare visibility in multi-species abattoirs, but also confirmed that technology must be integrated within structured governance, training, and data management systems to achieve sustained improvement. Based on these findings, the following recommendations are proposed at an AMPC and industry level.</w:t>
      </w:r>
      <w:r w:rsidR="0F95092D">
        <w:rPr/>
        <w:t xml:space="preserve"> </w:t>
      </w:r>
    </w:p>
    <w:p w:rsidR="00382EDF" w:rsidRDefault="005B5EF1" w14:paraId="123E3FD8" w14:textId="25CC2B77">
      <w:pPr>
        <w:pStyle w:val="Heading2"/>
        <w:keepNext w:val="0"/>
        <w:keepLines w:val="0"/>
        <w:spacing w:line="360" w:lineRule="auto"/>
      </w:pPr>
      <w:bookmarkStart w:name="_heading=h.otjoawt1wcn5" w:id="50"/>
      <w:bookmarkEnd w:id="50"/>
      <w:r w:rsidR="005B5EF1">
        <w:rPr/>
        <w:t>9.1 Establish a National Hybrid Monitoring Framework</w:t>
      </w:r>
    </w:p>
    <w:p w:rsidR="00382EDF" w:rsidRDefault="005B5EF1" w14:paraId="123E3FD9" w14:textId="77777777">
      <w:pPr>
        <w:spacing w:before="240" w:after="240" w:line="360" w:lineRule="auto"/>
      </w:pPr>
      <w:r>
        <w:t>This project demonstrated that hybrid monitoring models (combining AI enabled computer vision, structured manual logging, sensor integration, and defined oversight roles) are more operationally stable than automation only approaches in mixed small stock facilities. AMPC should consider developing a national framework that defines minimum design principles for hybrid monitoring systems in Australian abattoirs.</w:t>
      </w:r>
    </w:p>
    <w:p w:rsidR="00382EDF" w:rsidRDefault="005B5EF1" w14:paraId="123E3FDA" w14:textId="77777777">
      <w:pPr>
        <w:spacing w:before="240" w:after="240" w:line="360" w:lineRule="auto"/>
      </w:pPr>
      <w:r>
        <w:t>Such a framework would not mandate specific vendors or technologies but would articulate principles for integrating visual monitoring, objective process data, manual KPI definition, and corrective action workflows. Clear guidance on proportional system design would reduce the risk of overinvestment in automation while supporting consistent uplift across facilities of varying scale and complexity.</w:t>
      </w:r>
    </w:p>
    <w:p w:rsidR="00382EDF" w:rsidRDefault="005B5EF1" w14:paraId="123E3FDB" w14:textId="77777777">
      <w:pPr>
        <w:spacing w:before="240" w:after="240" w:line="360" w:lineRule="auto"/>
      </w:pPr>
      <w:r>
        <w:t>Development of this framework could form the basis or starting point for applied research projects focused on validating and commercialising hybrid monitoring configurations across multiple plant types (</w:t>
      </w:r>
      <w:proofErr w:type="spellStart"/>
      <w:r>
        <w:t>eg</w:t>
      </w:r>
      <w:proofErr w:type="spellEnd"/>
      <w:r>
        <w:t xml:space="preserve"> an open innovation pipeline for monitoring technologies in abattoirs).</w:t>
      </w:r>
    </w:p>
    <w:p w:rsidR="00382EDF" w:rsidRDefault="005B5EF1" w14:paraId="123E3FDC" w14:textId="77777777">
      <w:pPr>
        <w:pStyle w:val="Heading2"/>
      </w:pPr>
      <w:bookmarkStart w:name="_heading=h.1oe29qcso6h6" w:colFirst="0" w:colLast="0" w:id="51"/>
      <w:bookmarkEnd w:id="51"/>
      <w:r>
        <w:t>9.2 Establish Industry Data Governance and Cybersecurity Standards for Monitoring Systems</w:t>
      </w:r>
    </w:p>
    <w:p w:rsidR="00382EDF" w:rsidRDefault="005B5EF1" w14:paraId="123E3FDD" w14:textId="77777777">
      <w:pPr>
        <w:spacing w:before="240" w:after="240" w:line="360" w:lineRule="auto"/>
      </w:pPr>
      <w:r>
        <w:t>The data security review conducted in this project identified common vulnerabilities across the sector, including limited network segmentation, persistent default credentials, informal access control processes, and absence of structured incident response plans. As surveillance adoption increases, these risks become more material.</w:t>
      </w:r>
    </w:p>
    <w:p w:rsidR="00382EDF" w:rsidRDefault="005B5EF1" w14:paraId="123E3FDE" w14:textId="77777777">
      <w:pPr>
        <w:spacing w:before="240" w:after="240" w:line="360" w:lineRule="auto"/>
      </w:pPr>
      <w:r>
        <w:t>AMPC should consider developing a formal industry standard or guidance framework for surveillance and AI system security in meat processing facilities. This standard could define minimum baseline expectations for network architecture and segmentation, credential and access management, data retention and deletion policies, vendor access controls, incident response protocols, audit and logging practices.</w:t>
      </w:r>
    </w:p>
    <w:p w:rsidR="00382EDF" w:rsidRDefault="005B5EF1" w14:paraId="123E3FDF" w14:textId="77777777">
      <w:pPr>
        <w:spacing w:before="240" w:after="240" w:line="360" w:lineRule="auto"/>
      </w:pPr>
      <w:r>
        <w:t>Such a standard would support consistent uplift across processors and strengthen industry resilience against both external cyber threats and internal tampering risks. Development of this framework could be undertaken as a dedicated follow-on project focused on secure-by-design architecture for abattoir monitoring systems.</w:t>
      </w:r>
    </w:p>
    <w:p w:rsidR="00382EDF" w:rsidRDefault="005B5EF1" w14:paraId="123E3FE0" w14:textId="77777777">
      <w:pPr>
        <w:pStyle w:val="Heading2"/>
      </w:pPr>
      <w:bookmarkStart w:name="_heading=h.6lc08ymlkrkv" w:colFirst="0" w:colLast="0" w:id="52"/>
      <w:bookmarkEnd w:id="52"/>
      <w:r>
        <w:t>9.3 Support Animal Welfare Officer (AWO) Capability Development</w:t>
      </w:r>
    </w:p>
    <w:p w:rsidR="00382EDF" w:rsidRDefault="005B5EF1" w14:paraId="123E3FE1" w14:textId="77777777">
      <w:pPr>
        <w:spacing w:before="240" w:after="240" w:line="360" w:lineRule="auto"/>
      </w:pPr>
      <w:r>
        <w:t>The stabilisation of the Animal Welfare Officer role was a significant contributor to the sustained improvement observed in this project. Monitoring technology was most effective when supported by a defined oversight function capable of interpreting data, initiating corrective action, and reinforcing training.</w:t>
      </w:r>
    </w:p>
    <w:p w:rsidR="00382EDF" w:rsidRDefault="005B5EF1" w14:paraId="123E3FE2" w14:textId="77777777">
      <w:pPr>
        <w:spacing w:before="240" w:after="240" w:line="360" w:lineRule="auto"/>
      </w:pPr>
      <w:r>
        <w:t>In many facilities, the AWO function is combined with broader QA responsibilities, which may limit dedicated oversight time. This creates gaps in knowledge and importance of the position for the sector. AMPC should consider supporting development of a structured AWO capability pathway, including training modules on interpreting AI and sensor data outputs, linking monitoring data to corrective action systems, documentation standards, understanding limitations of computer vision systems, data governance responsibilities.</w:t>
      </w:r>
    </w:p>
    <w:p w:rsidR="00382EDF" w:rsidRDefault="005B5EF1" w14:paraId="123E3FE3" w14:textId="77777777">
      <w:pPr>
        <w:spacing w:before="240" w:after="240" w:line="360" w:lineRule="auto"/>
      </w:pPr>
      <w:r>
        <w:t>Formalising AWO capability at an industry level would strengthen return on investment in monitoring systems and support consistent interpretation of welfare data across facilities.</w:t>
      </w:r>
    </w:p>
    <w:p w:rsidR="00382EDF" w:rsidRDefault="005B5EF1" w14:paraId="123E3FE4" w14:textId="77777777">
      <w:pPr>
        <w:pStyle w:val="Heading2"/>
      </w:pPr>
      <w:bookmarkStart w:name="_heading=h.ty3tf6uvejzi" w:colFirst="0" w:colLast="0" w:id="53"/>
      <w:bookmarkEnd w:id="53"/>
      <w:r>
        <w:t>9.4 Develop Regulatory and Auditor Education Resources on Monitoring Maturity</w:t>
      </w:r>
    </w:p>
    <w:p w:rsidR="00382EDF" w:rsidRDefault="005B5EF1" w14:paraId="123E3FE5" w14:textId="77777777">
      <w:pPr>
        <w:spacing w:before="240" w:after="240" w:line="360" w:lineRule="auto"/>
      </w:pPr>
      <w:r>
        <w:t>As AI and CCTV systems become more common in abattoirs, it is important that regulators, auditors, and certification bodies clearly distinguish between the presence of technology and its operational integration. The findings of this project suggest that monitoring infrastructure alone does not equate to operational maturity; integration into governance systems is the determining factor.</w:t>
      </w:r>
    </w:p>
    <w:p w:rsidR="00382EDF" w:rsidRDefault="005B5EF1" w14:paraId="123E3FE6" w14:textId="77777777">
      <w:pPr>
        <w:spacing w:before="240" w:after="240" w:line="360" w:lineRule="auto"/>
      </w:pPr>
      <w:r>
        <w:t>AMPC should consider developing educational resources for regulators and certification bodies that clarify indicative versus assured monitoring systems, the role of hybrid models, appropriate expectations for automation, interpretation of AI generated data.</w:t>
      </w:r>
    </w:p>
    <w:p w:rsidR="00382EDF" w:rsidRDefault="005B5EF1" w14:paraId="123E3FE7" w14:textId="77777777">
      <w:pPr>
        <w:spacing w:before="240" w:after="240" w:line="360" w:lineRule="auto"/>
      </w:pPr>
      <w:r>
        <w:t>This would reduce the risk of misaligned expectations and ensure proportionate evaluation of facilities adopting monitoring technology. It will also reduce overregulation or over reliance on the technology and more importantly the facility and industry through creating standards on technology rather than outcomes (</w:t>
      </w:r>
      <w:proofErr w:type="spellStart"/>
      <w:r>
        <w:t>eg</w:t>
      </w:r>
      <w:proofErr w:type="spellEnd"/>
      <w:r>
        <w:t xml:space="preserve"> the CCTV Standard in AAWCS).</w:t>
      </w:r>
    </w:p>
    <w:p w:rsidR="00382EDF" w:rsidRDefault="005B5EF1" w14:paraId="123E3FE8" w14:textId="77777777">
      <w:pPr>
        <w:pStyle w:val="Heading2"/>
      </w:pPr>
      <w:bookmarkStart w:name="_heading=h.g797jhvg53r0" w:colFirst="0" w:colLast="0" w:id="54"/>
      <w:bookmarkEnd w:id="54"/>
      <w:r>
        <w:t>9.5 Promote Proportionate Investment Guidance for Processors</w:t>
      </w:r>
    </w:p>
    <w:p w:rsidR="00382EDF" w:rsidRDefault="005B5EF1" w14:paraId="123E3FE9" w14:textId="77777777">
      <w:pPr>
        <w:spacing w:before="240" w:after="240" w:line="360" w:lineRule="auto"/>
      </w:pPr>
      <w:r>
        <w:t>A recurring theme of this project was the risk of overinvestment in full automation driven by misunderstanding of AI capability. AMPC should consider producing guidance that supports proportionate investment decisions, helping processors answer four foundational questions before adopting AI systems:</w:t>
      </w:r>
    </w:p>
    <w:p w:rsidR="00382EDF" w:rsidRDefault="005B5EF1" w14:paraId="123E3FEA" w14:textId="77777777">
      <w:pPr>
        <w:numPr>
          <w:ilvl w:val="0"/>
          <w:numId w:val="2"/>
        </w:numPr>
        <w:spacing w:before="240" w:after="0" w:line="360" w:lineRule="auto"/>
      </w:pPr>
      <w:r>
        <w:t>What specific welfare problem are we trying to solve?</w:t>
      </w:r>
    </w:p>
    <w:p w:rsidR="00382EDF" w:rsidRDefault="005B5EF1" w14:paraId="123E3FEB" w14:textId="77777777">
      <w:pPr>
        <w:numPr>
          <w:ilvl w:val="0"/>
          <w:numId w:val="2"/>
        </w:numPr>
        <w:spacing w:after="0" w:line="360" w:lineRule="auto"/>
      </w:pPr>
      <w:r>
        <w:t>What level of confidence is required?</w:t>
      </w:r>
    </w:p>
    <w:p w:rsidR="00382EDF" w:rsidRDefault="005B5EF1" w14:paraId="123E3FEC" w14:textId="77777777">
      <w:pPr>
        <w:numPr>
          <w:ilvl w:val="0"/>
          <w:numId w:val="2"/>
        </w:numPr>
        <w:spacing w:after="0" w:line="360" w:lineRule="auto"/>
      </w:pPr>
      <w:r>
        <w:t>What data inputs are necessary to achieve that confidence?</w:t>
      </w:r>
    </w:p>
    <w:p w:rsidR="00382EDF" w:rsidRDefault="005B5EF1" w14:paraId="123E3FED" w14:textId="77777777">
      <w:pPr>
        <w:numPr>
          <w:ilvl w:val="0"/>
          <w:numId w:val="2"/>
        </w:numPr>
        <w:spacing w:after="240" w:line="360" w:lineRule="auto"/>
      </w:pPr>
      <w:r>
        <w:t>What is the simplest system capable of delivering that outcome?</w:t>
      </w:r>
    </w:p>
    <w:p w:rsidR="00382EDF" w:rsidRDefault="005B5EF1" w14:paraId="123E3FEE" w14:textId="77777777">
      <w:pPr>
        <w:spacing w:before="240" w:after="240" w:line="360" w:lineRule="auto"/>
      </w:pPr>
      <w:r>
        <w:t>Clear guidance would reduce misallocation of capital and support strategic, needs-driven adoption.</w:t>
      </w:r>
    </w:p>
    <w:p w:rsidR="00382EDF" w:rsidRDefault="005B5EF1" w14:paraId="123E3FEF" w14:textId="77777777">
      <w:pPr>
        <w:pStyle w:val="Heading1"/>
        <w:numPr>
          <w:ilvl w:val="0"/>
          <w:numId w:val="7"/>
        </w:numPr>
        <w:ind w:left="709" w:hanging="709"/>
      </w:pPr>
      <w:bookmarkStart w:name="_heading=h.bzhcgtkl0uw0" w:colFirst="0" w:colLast="0" w:id="55"/>
      <w:bookmarkEnd w:id="55"/>
      <w:r>
        <w:t xml:space="preserve"> Project outputs</w:t>
      </w:r>
    </w:p>
    <w:p w:rsidR="00382EDF" w:rsidRDefault="005B5EF1" w14:paraId="123E3FF0" w14:textId="77777777">
      <w:pPr>
        <w:numPr>
          <w:ilvl w:val="0"/>
          <w:numId w:val="5"/>
        </w:numPr>
        <w:spacing w:after="0" w:line="360" w:lineRule="auto"/>
      </w:pPr>
      <w:r>
        <w:t xml:space="preserve"> Installation and commissioning of an AI-enabled CCTV monitoring system within a multi-species commercial abattoir, including camera deployment across unloading, lairage, raceway, stunning, and bleed rail areas.</w:t>
      </w:r>
    </w:p>
    <w:p w:rsidR="00382EDF" w:rsidRDefault="005B5EF1" w14:paraId="123E3FF1" w14:textId="77777777">
      <w:pPr>
        <w:numPr>
          <w:ilvl w:val="0"/>
          <w:numId w:val="5"/>
        </w:numPr>
        <w:spacing w:after="0" w:line="360" w:lineRule="auto"/>
        <w:rPr>
          <w:sz w:val="22"/>
          <w:szCs w:val="22"/>
        </w:rPr>
      </w:pPr>
      <w:r>
        <w:t>Development and on-site training of AI computer vision models for calves, sheep, lambs, and goats, including detection of defined welfare indicators and event flagging.</w:t>
      </w:r>
    </w:p>
    <w:p w:rsidR="00382EDF" w:rsidRDefault="005B5EF1" w14:paraId="123E3FF2" w14:textId="77777777">
      <w:pPr>
        <w:numPr>
          <w:ilvl w:val="0"/>
          <w:numId w:val="5"/>
        </w:numPr>
        <w:spacing w:after="0" w:line="360" w:lineRule="auto"/>
        <w:rPr>
          <w:sz w:val="22"/>
          <w:szCs w:val="22"/>
        </w:rPr>
      </w:pPr>
      <w:r>
        <w:t>Integration of electrical stunning data (Carne Technologies) into a central monitoring database, enabling correlation of stun parameters with CCTV review.</w:t>
      </w:r>
    </w:p>
    <w:p w:rsidR="00382EDF" w:rsidRDefault="005B5EF1" w14:paraId="123E3FF3" w14:textId="77777777">
      <w:pPr>
        <w:numPr>
          <w:ilvl w:val="0"/>
          <w:numId w:val="5"/>
        </w:numPr>
        <w:spacing w:after="0" w:line="360" w:lineRule="auto"/>
        <w:rPr>
          <w:sz w:val="22"/>
          <w:szCs w:val="22"/>
        </w:rPr>
      </w:pPr>
      <w:r>
        <w:t>Installation of additional sensor inputs, including captive bolt activation monitoring and environmental data logging.</w:t>
      </w:r>
    </w:p>
    <w:p w:rsidR="00382EDF" w:rsidRDefault="005B5EF1" w14:paraId="123E3FF4" w14:textId="77777777">
      <w:pPr>
        <w:numPr>
          <w:ilvl w:val="0"/>
          <w:numId w:val="5"/>
        </w:numPr>
        <w:spacing w:after="0" w:line="360" w:lineRule="auto"/>
        <w:rPr>
          <w:sz w:val="22"/>
          <w:szCs w:val="22"/>
        </w:rPr>
      </w:pPr>
      <w:r>
        <w:t>Longitudinal welfare trend analysis covering dropped carcasses, mortality (DOA and DIP), electrical stun performance, and handling indicators.</w:t>
      </w:r>
    </w:p>
    <w:p w:rsidR="00382EDF" w:rsidRDefault="005B5EF1" w14:paraId="123E3FF5" w14:textId="77777777">
      <w:pPr>
        <w:numPr>
          <w:ilvl w:val="0"/>
          <w:numId w:val="5"/>
        </w:numPr>
        <w:spacing w:after="0" w:line="360" w:lineRule="auto"/>
        <w:rPr>
          <w:sz w:val="22"/>
          <w:szCs w:val="22"/>
        </w:rPr>
      </w:pPr>
      <w:r>
        <w:t>Development and deployment of practical training tools, including:</w:t>
      </w:r>
    </w:p>
    <w:p w:rsidR="00382EDF" w:rsidRDefault="005B5EF1" w14:paraId="123E3FF6" w14:textId="77777777">
      <w:pPr>
        <w:numPr>
          <w:ilvl w:val="1"/>
          <w:numId w:val="5"/>
        </w:numPr>
        <w:spacing w:after="0" w:line="360" w:lineRule="auto"/>
        <w:rPr>
          <w:sz w:val="22"/>
          <w:szCs w:val="22"/>
        </w:rPr>
      </w:pPr>
      <w:r>
        <w:t>Electrical stun testing heads for calibration and competency reinforcement.</w:t>
      </w:r>
    </w:p>
    <w:p w:rsidR="00382EDF" w:rsidRDefault="005B5EF1" w14:paraId="123E3FF7" w14:textId="77777777">
      <w:pPr>
        <w:numPr>
          <w:ilvl w:val="1"/>
          <w:numId w:val="5"/>
        </w:numPr>
        <w:spacing w:after="0" w:line="360" w:lineRule="auto"/>
        <w:rPr>
          <w:sz w:val="22"/>
          <w:szCs w:val="22"/>
        </w:rPr>
      </w:pPr>
      <w:r>
        <w:t>Species-specific anatomical models for sheep, lambs, goats, and calves.</w:t>
      </w:r>
    </w:p>
    <w:p w:rsidR="00382EDF" w:rsidRDefault="005B5EF1" w14:paraId="123E3FF8" w14:textId="77777777">
      <w:pPr>
        <w:numPr>
          <w:ilvl w:val="1"/>
          <w:numId w:val="5"/>
        </w:numPr>
        <w:spacing w:after="0" w:line="360" w:lineRule="auto"/>
        <w:rPr>
          <w:sz w:val="22"/>
          <w:szCs w:val="22"/>
        </w:rPr>
      </w:pPr>
      <w:r>
        <w:t>Video-based microlearning modules delivered via mobile Learning Management System (LMS).</w:t>
      </w:r>
    </w:p>
    <w:p w:rsidR="00382EDF" w:rsidRDefault="005B5EF1" w14:paraId="123E3FF9" w14:textId="77777777">
      <w:pPr>
        <w:numPr>
          <w:ilvl w:val="0"/>
          <w:numId w:val="5"/>
        </w:numPr>
        <w:spacing w:after="0" w:line="360" w:lineRule="auto"/>
        <w:rPr>
          <w:sz w:val="22"/>
          <w:szCs w:val="22"/>
        </w:rPr>
      </w:pPr>
      <w:r>
        <w:t>Preparation of a structured case study documenting facility transformation and monitoring integration.</w:t>
      </w:r>
    </w:p>
    <w:p w:rsidR="00382EDF" w:rsidRDefault="005B5EF1" w14:paraId="123E3FFA" w14:textId="77777777">
      <w:pPr>
        <w:numPr>
          <w:ilvl w:val="0"/>
          <w:numId w:val="5"/>
        </w:numPr>
        <w:spacing w:after="0" w:line="360" w:lineRule="auto"/>
        <w:rPr>
          <w:sz w:val="22"/>
          <w:szCs w:val="22"/>
        </w:rPr>
      </w:pPr>
      <w:r>
        <w:t>Completion of a comprehensive Data Security and Governance Review specific to surveillance and AI systems in abattoirs.</w:t>
      </w:r>
    </w:p>
    <w:p w:rsidR="00382EDF" w:rsidRDefault="005B5EF1" w14:paraId="123E3FFB" w14:textId="77777777">
      <w:pPr>
        <w:numPr>
          <w:ilvl w:val="0"/>
          <w:numId w:val="5"/>
        </w:numPr>
        <w:spacing w:after="0" w:line="360" w:lineRule="auto"/>
        <w:rPr>
          <w:sz w:val="22"/>
          <w:szCs w:val="22"/>
        </w:rPr>
      </w:pPr>
      <w:r>
        <w:t xml:space="preserve">Development of the </w:t>
      </w:r>
      <w:r>
        <w:rPr>
          <w:i/>
          <w:iCs/>
        </w:rPr>
        <w:t>Meat Processor Surveillance Security Best Practice Checklist</w:t>
      </w:r>
      <w:r>
        <w:t>.</w:t>
      </w:r>
    </w:p>
    <w:p w:rsidR="00382EDF" w:rsidRDefault="005B5EF1" w14:paraId="123E3FFC" w14:textId="77777777">
      <w:pPr>
        <w:numPr>
          <w:ilvl w:val="0"/>
          <w:numId w:val="5"/>
        </w:numPr>
        <w:spacing w:after="0" w:line="360" w:lineRule="auto"/>
        <w:rPr>
          <w:sz w:val="22"/>
          <w:szCs w:val="22"/>
        </w:rPr>
      </w:pPr>
      <w:r>
        <w:t xml:space="preserve">Development of the </w:t>
      </w:r>
      <w:r>
        <w:rPr>
          <w:i/>
          <w:iCs/>
        </w:rPr>
        <w:t>Data Security Checklist for Abattoirs</w:t>
      </w:r>
      <w:r>
        <w:t>.</w:t>
      </w:r>
    </w:p>
    <w:p w:rsidR="00382EDF" w:rsidRDefault="005B5EF1" w14:paraId="123E3FFD" w14:textId="77777777">
      <w:pPr>
        <w:numPr>
          <w:ilvl w:val="0"/>
          <w:numId w:val="5"/>
        </w:numPr>
        <w:spacing w:after="0" w:line="360" w:lineRule="auto"/>
        <w:rPr>
          <w:sz w:val="22"/>
          <w:szCs w:val="22"/>
        </w:rPr>
      </w:pPr>
      <w:r>
        <w:t xml:space="preserve">Development of the AMPC Industry Insight document: </w:t>
      </w:r>
      <w:r>
        <w:rPr>
          <w:i/>
          <w:iCs/>
        </w:rPr>
        <w:t>Monitoring Animal Welfare – Inputs and AI</w:t>
      </w:r>
      <w:r>
        <w:t>.</w:t>
      </w:r>
    </w:p>
    <w:p w:rsidR="00382EDF" w:rsidRDefault="005B5EF1" w14:paraId="123E3FFE" w14:textId="77777777">
      <w:pPr>
        <w:numPr>
          <w:ilvl w:val="0"/>
          <w:numId w:val="5"/>
        </w:numPr>
        <w:spacing w:after="0" w:line="360" w:lineRule="auto"/>
      </w:pPr>
      <w:r>
        <w:t xml:space="preserve">Performance of two webinars: </w:t>
      </w:r>
      <w:r>
        <w:rPr>
          <w:i/>
          <w:iCs/>
        </w:rPr>
        <w:t>AI use in Australian Abattoirs</w:t>
      </w:r>
      <w:r>
        <w:t xml:space="preserve"> and </w:t>
      </w:r>
      <w:r>
        <w:rPr>
          <w:i/>
          <w:iCs/>
        </w:rPr>
        <w:t>Data Security Risks in Australian Abattoirs</w:t>
      </w:r>
    </w:p>
    <w:p w:rsidR="00382EDF" w:rsidRDefault="00382EDF" w14:paraId="123E3FFF" w14:textId="77777777"/>
    <w:sectPr w:rsidR="00382EDF">
      <w:headerReference w:type="default" r:id="rId18"/>
      <w:headerReference w:type="first" r:id="rId19"/>
      <w:footerReference w:type="first" r:id="rId20"/>
      <w:type w:val="continuous"/>
      <w:pgSz w:w="11906" w:h="16838" w:orient="portrait"/>
      <w:pgMar w:top="1701" w:right="794" w:bottom="1440" w:left="794" w:header="539"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7AEE" w:rsidRDefault="005A7AEE" w14:paraId="61321D43" w14:textId="77777777">
      <w:pPr>
        <w:spacing w:after="0"/>
      </w:pPr>
      <w:r>
        <w:separator/>
      </w:r>
    </w:p>
  </w:endnote>
  <w:endnote w:type="continuationSeparator" w:id="0">
    <w:p w:rsidR="005A7AEE" w:rsidRDefault="005A7AEE" w14:paraId="4AA53364"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Headings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w:fontKey="{606AD572-8B92-448B-BCC9-64AC1F35F48F}" r:id="rId1"/>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w:fontKey="{6A034BB5-F48F-4EC3-8B6B-D091CCBD4E62}" r:id="rId2"/>
  </w:font>
  <w:font w:name="Angsana New">
    <w:panose1 w:val="02020603050405020304"/>
    <w:charset w:val="00"/>
    <w:family w:val="roman"/>
    <w:pitch w:val="variable"/>
    <w:sig w:usb0="81000003" w:usb1="00000000" w:usb2="00000000" w:usb3="00000000" w:csb0="00010001" w:csb1="00000000"/>
    <w:embedRegular w:fontKey="{FBD8B5A3-5098-4E9C-B198-247524505D78}" r:id="rId3"/>
  </w:font>
  <w:font w:name="Cordia New">
    <w:panose1 w:val="020B0304020202020204"/>
    <w:charset w:val="00"/>
    <w:family w:val="swiss"/>
    <w:pitch w:val="variable"/>
    <w:sig w:usb0="81000003" w:usb1="00000000" w:usb2="00000000" w:usb3="00000000" w:csb0="00010001" w:csb1="00000000"/>
    <w:embedRegular w:fontKey="{E1F194B4-45F1-489E-AA1E-D795AD7FF03D}"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2EDF" w:rsidRDefault="005B5EF1" w14:paraId="123E4005" w14:textId="77777777">
    <w:pPr>
      <w:pBdr>
        <w:top w:val="nil"/>
        <w:left w:val="nil"/>
        <w:bottom w:val="nil"/>
        <w:right w:val="nil"/>
        <w:between w:val="nil"/>
      </w:pBdr>
      <w:tabs>
        <w:tab w:val="center" w:pos="4513"/>
        <w:tab w:val="right" w:pos="9026"/>
      </w:tabs>
      <w:jc w:val="right"/>
      <w:rPr>
        <w:color w:val="005B7F"/>
        <w:sz w:val="18"/>
        <w:szCs w:val="18"/>
      </w:rPr>
    </w:pPr>
    <w:r>
      <w:rPr>
        <w:color w:val="005B7F"/>
        <w:sz w:val="18"/>
        <w:szCs w:val="18"/>
      </w:rPr>
      <w:fldChar w:fldCharType="begin"/>
    </w:r>
    <w:r>
      <w:rPr>
        <w:color w:val="005B7F"/>
        <w:sz w:val="18"/>
        <w:szCs w:val="18"/>
      </w:rPr>
      <w:instrText>PAGE</w:instrText>
    </w:r>
    <w:r>
      <w:rPr>
        <w:color w:val="005B7F"/>
        <w:sz w:val="18"/>
        <w:szCs w:val="18"/>
      </w:rPr>
      <w:fldChar w:fldCharType="separate"/>
    </w:r>
    <w:r>
      <w:rPr>
        <w:color w:val="005B7F"/>
        <w:sz w:val="18"/>
        <w:szCs w:val="18"/>
      </w:rPr>
      <w:fldChar w:fldCharType="end"/>
    </w:r>
  </w:p>
  <w:p w:rsidR="00382EDF" w:rsidRDefault="00382EDF" w14:paraId="123E4006" w14:textId="7777777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82EDF" w:rsidRDefault="005B5EF1" w14:paraId="123E4007" w14:textId="77777777">
    <w:pPr>
      <w:pBdr>
        <w:top w:val="nil"/>
        <w:left w:val="nil"/>
        <w:bottom w:val="nil"/>
        <w:right w:val="nil"/>
        <w:between w:val="nil"/>
      </w:pBdr>
      <w:tabs>
        <w:tab w:val="center" w:pos="4513"/>
        <w:tab w:val="right" w:pos="9026"/>
      </w:tabs>
      <w:ind w:right="360"/>
      <w:rPr>
        <w:color w:val="5FB8BE"/>
        <w:sz w:val="15"/>
        <w:szCs w:val="15"/>
      </w:rPr>
    </w:pPr>
    <w:r>
      <w:rPr>
        <w:color w:val="5FB8BE"/>
        <w:sz w:val="15"/>
        <w:szCs w:val="15"/>
      </w:rPr>
      <w:t>AMPC.COM.AU</w:t>
    </w:r>
    <w:r>
      <w:rPr>
        <w:noProof/>
      </w:rPr>
      <mc:AlternateContent>
        <mc:Choice Requires="wps">
          <w:drawing>
            <wp:anchor distT="0" distB="0" distL="114300" distR="114300" simplePos="0" relativeHeight="251658242" behindDoc="0" locked="0" layoutInCell="1" hidden="0" allowOverlap="1" wp14:anchorId="123E4013" wp14:editId="123E4014">
              <wp:simplePos x="0" y="0"/>
              <wp:positionH relativeFrom="column">
                <wp:posOffset>6352</wp:posOffset>
              </wp:positionH>
              <wp:positionV relativeFrom="paragraph">
                <wp:posOffset>-25398</wp:posOffset>
              </wp:positionV>
              <wp:extent cx="0" cy="12700"/>
              <wp:effectExtent l="0" t="0" r="0" b="0"/>
              <wp:wrapNone/>
              <wp:docPr id="2039362021" name="Straight Arrow Connector 2039362021"/>
              <wp:cNvGraphicFramePr/>
              <a:graphic xmlns:a="http://schemas.openxmlformats.org/drawingml/2006/main">
                <a:graphicData uri="http://schemas.microsoft.com/office/word/2010/wordprocessingShape">
                  <wps:wsp>
                    <wps:cNvCnPr/>
                    <wps:spPr>
                      <a:xfrm>
                        <a:off x="2060435" y="3780000"/>
                        <a:ext cx="6571130" cy="0"/>
                      </a:xfrm>
                      <a:prstGeom prst="straightConnector1">
                        <a:avLst/>
                      </a:prstGeom>
                      <a:noFill/>
                      <a:ln w="9525" cap="flat" cmpd="sng">
                        <a:solidFill>
                          <a:srgbClr val="5FB8BE"/>
                        </a:solidFill>
                        <a:prstDash val="solid"/>
                        <a:miter lim="800000"/>
                        <a:headEnd type="none" w="sm" len="sm"/>
                        <a:tailEnd type="none" w="sm" len="sm"/>
                      </a:ln>
                    </wps:spPr>
                    <wps:bodyPr/>
                  </wps:wsp>
                </a:graphicData>
              </a:graphic>
            </wp:anchor>
          </w:drawing>
        </mc:Choice>
        <mc:Fallback>
          <w:pict w14:anchorId="534C485F">
            <v:shapetype id="_x0000_t32" coordsize="21600,21600" o:oned="t" filled="f" o:spt="32" path="m,l21600,21600e" w14:anchorId="08929BD9">
              <v:path fillok="f" arrowok="t" o:connecttype="none"/>
              <o:lock v:ext="edit" shapetype="t"/>
            </v:shapetype>
            <v:shape id="Straight Arrow Connector 2039362021" style="position:absolute;margin-left:.5pt;margin-top:-2pt;width:0;height:1pt;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5fb8be"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">
              <v:stroke joinstyle="miter" startarrowwidth="narrow" startarrowlength="short" endarrowwidth="narrow" endarrowlength="shor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2EDF" w:rsidRDefault="00382EDF" w14:paraId="123E4009" w14:textId="77777777">
    <w:pPr>
      <w:pBdr>
        <w:top w:val="nil"/>
        <w:left w:val="nil"/>
        <w:bottom w:val="nil"/>
        <w:right w:val="nil"/>
        <w:between w:val="nil"/>
      </w:pBdr>
      <w:tabs>
        <w:tab w:val="center" w:pos="4513"/>
        <w:tab w:val="right" w:pos="9026"/>
      </w:tabs>
      <w:ind w:right="360"/>
      <w:rPr>
        <w:color w:val="5FB8BE"/>
        <w:sz w:val="15"/>
        <w:szCs w:val="1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82EDF" w:rsidRDefault="005B5EF1" w14:paraId="123E400C" w14:textId="77777777">
    <w:pPr>
      <w:pBdr>
        <w:top w:val="nil"/>
        <w:left w:val="nil"/>
        <w:bottom w:val="nil"/>
        <w:right w:val="nil"/>
        <w:between w:val="nil"/>
      </w:pBdr>
      <w:spacing w:after="120"/>
      <w:rPr>
        <w:color w:val="005B7F"/>
        <w:sz w:val="15"/>
        <w:szCs w:val="15"/>
      </w:rPr>
    </w:pPr>
    <w:r>
      <w:rPr>
        <w:b/>
        <w:bCs/>
        <w:color w:val="005B7F"/>
        <w:sz w:val="15"/>
        <w:szCs w:val="15"/>
      </w:rPr>
      <w:t>Disclaimer</w:t>
    </w:r>
    <w:r>
      <w:rPr>
        <w:color w:val="005B7F"/>
        <w:sz w:val="15"/>
        <w:szCs w:val="15"/>
      </w:rPr>
      <w:t xml:space="preserve"> The information contained within this publication has been prepared by a third party commissioned by Australian Meat Processor Corporation Ltd (AMPC). It does not necessarily reflect the opinion or position of AMPC.  Care is taken to ensure the accuracy of the information </w:t>
    </w:r>
    <w:r>
      <w:rPr>
        <w:color w:val="005B7F"/>
        <w:sz w:val="15"/>
        <w:szCs w:val="15"/>
      </w:rPr>
      <w:br/>
    </w:r>
    <w:r>
      <w:rPr>
        <w:color w:val="005B7F"/>
        <w:sz w:val="15"/>
        <w:szCs w:val="15"/>
      </w:rPr>
      <w:t>contained in this publication. However, AMPC cannot accept responsibility for the accuracy or completeness of the information or opinions contained in this publication, nor does it endorse or adopt the information contained in this report.</w:t>
    </w:r>
  </w:p>
  <w:p w:rsidR="00382EDF" w:rsidRDefault="005B5EF1" w14:paraId="123E400D" w14:textId="77777777">
    <w:pPr>
      <w:pBdr>
        <w:top w:val="nil"/>
        <w:left w:val="nil"/>
        <w:bottom w:val="nil"/>
        <w:right w:val="nil"/>
        <w:between w:val="nil"/>
      </w:pBdr>
      <w:spacing w:after="120"/>
      <w:ind w:right="-30"/>
      <w:rPr>
        <w:color w:val="005B7F"/>
        <w:sz w:val="15"/>
        <w:szCs w:val="15"/>
      </w:rPr>
    </w:pPr>
    <w:r>
      <w:rPr>
        <w:color w:val="005B7F"/>
        <w:sz w:val="15"/>
        <w:szCs w:val="15"/>
      </w:rPr>
      <w:t>No part of this work may be reproduced, copied, published, communicated or adapted in any form or by any means (electronic or otherwise) without the express written permission of Australian Meat Processor Corporation Ltd. All rights are expressly reserved. Requests for further authorisation should be directed to the Executive Chairman, AMPC, Suite 2, Level 6, 99 Walker Street North Sydney NSW.</w:t>
    </w:r>
  </w:p>
  <w:p w:rsidR="00382EDF" w:rsidRDefault="005B5EF1" w14:paraId="123E400E" w14:textId="77777777">
    <w:pPr>
      <w:pBdr>
        <w:top w:val="nil"/>
        <w:left w:val="nil"/>
        <w:bottom w:val="nil"/>
        <w:right w:val="nil"/>
        <w:between w:val="nil"/>
      </w:pBdr>
      <w:spacing w:after="120"/>
      <w:rPr>
        <w:color w:val="005B7F"/>
        <w:sz w:val="15"/>
        <w:szCs w:val="15"/>
      </w:rPr>
    </w:pPr>
    <w:r>
      <w:rPr>
        <w:noProof/>
      </w:rPr>
      <mc:AlternateContent>
        <mc:Choice Requires="wps">
          <w:drawing>
            <wp:anchor distT="0" distB="0" distL="114300" distR="114300" simplePos="0" relativeHeight="251658245" behindDoc="0" locked="0" layoutInCell="1" hidden="0" allowOverlap="1" wp14:anchorId="123E401B" wp14:editId="123E401C">
              <wp:simplePos x="0" y="0"/>
              <wp:positionH relativeFrom="column">
                <wp:posOffset>7940</wp:posOffset>
              </wp:positionH>
              <wp:positionV relativeFrom="paragraph">
                <wp:posOffset>84138</wp:posOffset>
              </wp:positionV>
              <wp:extent cx="6554881" cy="82363"/>
              <wp:effectExtent l="0" t="0" r="0" b="0"/>
              <wp:wrapNone/>
              <wp:docPr id="2039362022" name="Straight Arrow Connector 2039362022"/>
              <wp:cNvGraphicFramePr/>
              <a:graphic xmlns:a="http://schemas.openxmlformats.org/drawingml/2006/main">
                <a:graphicData uri="http://schemas.microsoft.com/office/word/2010/wordprocessingShape">
                  <wps:wsp>
                    <wps:cNvCnPr/>
                    <wps:spPr>
                      <a:xfrm rot="10800000" flipH="1">
                        <a:off x="2082847" y="3753106"/>
                        <a:ext cx="6526306" cy="53788"/>
                      </a:xfrm>
                      <a:prstGeom prst="straightConnector1">
                        <a:avLst/>
                      </a:prstGeom>
                      <a:noFill/>
                      <a:ln w="9525" cap="flat" cmpd="sng">
                        <a:solidFill>
                          <a:srgbClr val="5FB8BE"/>
                        </a:solidFill>
                        <a:prstDash val="solid"/>
                        <a:miter lim="800000"/>
                        <a:headEnd type="none" w="sm" len="sm"/>
                        <a:tailEnd type="none" w="sm" len="sm"/>
                      </a:ln>
                    </wps:spPr>
                    <wps:bodyPr/>
                  </wps:wsp>
                </a:graphicData>
              </a:graphic>
            </wp:anchor>
          </w:drawing>
        </mc:Choice>
        <mc:Fallback>
          <w:pict w14:anchorId="7E2C31DC">
            <v:shapetype id="_x0000_t32" coordsize="21600,21600" o:oned="t" filled="f" o:spt="32" path="m,l21600,21600e" w14:anchorId="220779D5">
              <v:path fillok="f" arrowok="t" o:connecttype="none"/>
              <o:lock v:ext="edit" shapetype="t"/>
            </v:shapetype>
            <v:shape id="Straight Arrow Connector 2039362022" style="position:absolute;margin-left:.65pt;margin-top:6.65pt;width:516.15pt;height:6.5pt;rotation:180;flip:x;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5fb8be"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">
              <v:stroke joinstyle="miter" startarrowwidth="narrow" startarrowlength="short" endarrowwidth="narrow" endarrowlength="short"/>
            </v:shape>
          </w:pict>
        </mc:Fallback>
      </mc:AlternateContent>
    </w:r>
  </w:p>
  <w:p w:rsidR="00382EDF" w:rsidRDefault="005B5EF1" w14:paraId="123E400F" w14:textId="7714A49D">
    <w:pPr>
      <w:pBdr>
        <w:top w:val="nil"/>
        <w:left w:val="nil"/>
        <w:bottom w:val="nil"/>
        <w:right w:val="nil"/>
        <w:between w:val="nil"/>
      </w:pBdr>
      <w:tabs>
        <w:tab w:val="center" w:pos="4513"/>
        <w:tab w:val="right" w:pos="9026"/>
      </w:tabs>
      <w:jc w:val="right"/>
      <w:rPr>
        <w:color w:val="005B7F"/>
        <w:sz w:val="18"/>
        <w:szCs w:val="18"/>
      </w:rPr>
    </w:pPr>
    <w:r>
      <w:rPr>
        <w:color w:val="005B7F"/>
        <w:sz w:val="18"/>
        <w:szCs w:val="18"/>
      </w:rPr>
      <w:fldChar w:fldCharType="begin"/>
    </w:r>
    <w:r>
      <w:rPr>
        <w:color w:val="005B7F"/>
        <w:sz w:val="18"/>
        <w:szCs w:val="18"/>
      </w:rPr>
      <w:instrText>PAGE</w:instrText>
    </w:r>
    <w:r>
      <w:rPr>
        <w:color w:val="005B7F"/>
        <w:sz w:val="18"/>
        <w:szCs w:val="18"/>
      </w:rPr>
      <w:fldChar w:fldCharType="separate"/>
    </w:r>
    <w:r w:rsidR="005D045C">
      <w:rPr>
        <w:noProof/>
        <w:color w:val="005B7F"/>
        <w:sz w:val="18"/>
        <w:szCs w:val="18"/>
      </w:rPr>
      <w:t>2</w:t>
    </w:r>
    <w:r>
      <w:rPr>
        <w:color w:val="005B7F"/>
        <w:sz w:val="18"/>
        <w:szCs w:val="18"/>
      </w:rPr>
      <w:fldChar w:fldCharType="end"/>
    </w:r>
  </w:p>
  <w:p w:rsidR="00382EDF" w:rsidRDefault="005B5EF1" w14:paraId="123E4010" w14:textId="77777777">
    <w:pPr>
      <w:pBdr>
        <w:top w:val="nil"/>
        <w:left w:val="nil"/>
        <w:bottom w:val="nil"/>
        <w:right w:val="nil"/>
        <w:between w:val="nil"/>
      </w:pBdr>
      <w:tabs>
        <w:tab w:val="center" w:pos="4513"/>
        <w:tab w:val="right" w:pos="9026"/>
      </w:tabs>
      <w:ind w:right="360"/>
      <w:rPr>
        <w:color w:val="5FB8BE"/>
        <w:sz w:val="15"/>
        <w:szCs w:val="15"/>
      </w:rPr>
    </w:pPr>
    <w:r>
      <w:rPr>
        <w:color w:val="5FB8BE"/>
        <w:sz w:val="15"/>
        <w:szCs w:val="15"/>
      </w:rPr>
      <w:t>AMPC.COM.AU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7AEE" w:rsidRDefault="005A7AEE" w14:paraId="5BDFF819" w14:textId="77777777">
      <w:pPr>
        <w:spacing w:after="0"/>
      </w:pPr>
      <w:r>
        <w:separator/>
      </w:r>
    </w:p>
  </w:footnote>
  <w:footnote w:type="continuationSeparator" w:id="0">
    <w:p w:rsidR="005A7AEE" w:rsidRDefault="005A7AEE" w14:paraId="6C71172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82EDF" w:rsidRDefault="005B5EF1" w14:paraId="123E4004" w14:textId="77777777">
    <w:pPr>
      <w:pBdr>
        <w:top w:val="nil"/>
        <w:left w:val="nil"/>
        <w:bottom w:val="nil"/>
        <w:right w:val="nil"/>
        <w:between w:val="nil"/>
      </w:pBdr>
      <w:tabs>
        <w:tab w:val="center" w:pos="4513"/>
        <w:tab w:val="right" w:pos="9026"/>
      </w:tabs>
      <w:rPr>
        <w:b/>
        <w:bCs/>
        <w:color w:val="000000"/>
      </w:rPr>
    </w:pPr>
    <w:r>
      <w:rPr>
        <w:b/>
        <w:bCs/>
        <w:noProof/>
        <w:color w:val="FFFFFF"/>
      </w:rPr>
      <w:drawing>
        <wp:anchor distT="0" distB="0" distL="0" distR="0" simplePos="0" relativeHeight="251658240" behindDoc="1" locked="0" layoutInCell="1" hidden="0" allowOverlap="1" wp14:anchorId="123E4011" wp14:editId="123E4012">
          <wp:simplePos x="0" y="0"/>
          <wp:positionH relativeFrom="page">
            <wp:align>center</wp:align>
          </wp:positionH>
          <wp:positionV relativeFrom="page">
            <wp:align>top</wp:align>
          </wp:positionV>
          <wp:extent cx="7538400" cy="709200"/>
          <wp:effectExtent l="0" t="0" r="0" b="0"/>
          <wp:wrapNone/>
          <wp:docPr id="20393620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38400" cy="709200"/>
                  </a:xfrm>
                  <a:prstGeom prst="rect">
                    <a:avLst/>
                  </a:prstGeom>
                  <a:ln/>
                </pic:spPr>
              </pic:pic>
            </a:graphicData>
          </a:graphic>
        </wp:anchor>
      </w:drawing>
    </w:r>
    <w:r>
      <w:rPr>
        <w:b/>
        <w:bCs/>
        <w:color w:val="FFFFFF"/>
      </w:rPr>
      <w:t>Final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82EDF" w:rsidRDefault="005B5EF1" w14:paraId="123E4008" w14:textId="77777777">
    <w:pPr>
      <w:pBdr>
        <w:top w:val="nil"/>
        <w:left w:val="nil"/>
        <w:bottom w:val="nil"/>
        <w:right w:val="nil"/>
        <w:between w:val="nil"/>
      </w:pBdr>
      <w:tabs>
        <w:tab w:val="center" w:pos="4513"/>
        <w:tab w:val="right" w:pos="9026"/>
      </w:tabs>
      <w:rPr>
        <w:color w:val="000000"/>
      </w:rPr>
    </w:pPr>
    <w:r>
      <w:rPr>
        <w:noProof/>
        <w:color w:val="FFFFFF"/>
        <w:sz w:val="72"/>
        <w:szCs w:val="72"/>
      </w:rPr>
      <w:drawing>
        <wp:anchor distT="0" distB="0" distL="0" distR="0" simplePos="0" relativeHeight="251658241" behindDoc="1" locked="0" layoutInCell="1" hidden="0" allowOverlap="1" wp14:anchorId="123E4015" wp14:editId="123E4016">
          <wp:simplePos x="0" y="0"/>
          <wp:positionH relativeFrom="page">
            <wp:posOffset>-8962</wp:posOffset>
          </wp:positionH>
          <wp:positionV relativeFrom="page">
            <wp:posOffset>-8962</wp:posOffset>
          </wp:positionV>
          <wp:extent cx="7575824" cy="10720745"/>
          <wp:effectExtent l="0" t="0" r="0" b="0"/>
          <wp:wrapNone/>
          <wp:docPr id="20393620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575824" cy="1072074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82EDF" w:rsidRDefault="005B5EF1" w14:paraId="123E400A" w14:textId="77777777">
    <w:pPr>
      <w:pBdr>
        <w:top w:val="nil"/>
        <w:left w:val="nil"/>
        <w:bottom w:val="nil"/>
        <w:right w:val="nil"/>
        <w:between w:val="nil"/>
      </w:pBdr>
      <w:tabs>
        <w:tab w:val="center" w:pos="4513"/>
        <w:tab w:val="right" w:pos="9026"/>
      </w:tabs>
      <w:rPr>
        <w:b/>
        <w:bCs/>
        <w:color w:val="000000"/>
      </w:rPr>
    </w:pPr>
    <w:r>
      <w:rPr>
        <w:b/>
        <w:bCs/>
        <w:noProof/>
        <w:color w:val="FFFFFF"/>
      </w:rPr>
      <w:drawing>
        <wp:anchor distT="0" distB="0" distL="0" distR="0" simplePos="0" relativeHeight="251658243" behindDoc="1" locked="0" layoutInCell="1" hidden="0" allowOverlap="1" wp14:anchorId="123E4017" wp14:editId="123E4018">
          <wp:simplePos x="0" y="0"/>
          <wp:positionH relativeFrom="page">
            <wp:align>left</wp:align>
          </wp:positionH>
          <wp:positionV relativeFrom="page">
            <wp:align>top</wp:align>
          </wp:positionV>
          <wp:extent cx="7560000" cy="529200"/>
          <wp:effectExtent l="0" t="0" r="0" b="0"/>
          <wp:wrapNone/>
          <wp:docPr id="20393620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52920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82EDF" w:rsidRDefault="005B5EF1" w14:paraId="123E400B" w14:textId="77777777">
    <w:pPr>
      <w:pBdr>
        <w:top w:val="nil"/>
        <w:left w:val="nil"/>
        <w:bottom w:val="nil"/>
        <w:right w:val="nil"/>
        <w:between w:val="nil"/>
      </w:pBdr>
      <w:tabs>
        <w:tab w:val="center" w:pos="4513"/>
        <w:tab w:val="right" w:pos="9026"/>
      </w:tabs>
      <w:rPr>
        <w:color w:val="000000"/>
      </w:rPr>
    </w:pPr>
    <w:r>
      <w:rPr>
        <w:b/>
        <w:bCs/>
        <w:noProof/>
        <w:color w:val="FFFFFF"/>
      </w:rPr>
      <w:drawing>
        <wp:anchor distT="0" distB="0" distL="0" distR="0" simplePos="0" relativeHeight="251658244" behindDoc="1" locked="0" layoutInCell="1" hidden="0" allowOverlap="1" wp14:anchorId="123E4019" wp14:editId="123E401A">
          <wp:simplePos x="0" y="0"/>
          <wp:positionH relativeFrom="page">
            <wp:align>left</wp:align>
          </wp:positionH>
          <wp:positionV relativeFrom="page">
            <wp:align>top</wp:align>
          </wp:positionV>
          <wp:extent cx="7560000" cy="529200"/>
          <wp:effectExtent l="0" t="0" r="0" b="0"/>
          <wp:wrapNone/>
          <wp:docPr id="20393620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529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0726"/>
    <w:multiLevelType w:val="multilevel"/>
    <w:tmpl w:val="E6922660"/>
    <w:lvl w:ilvl="0">
      <w:start w:val="1"/>
      <w:numFmt w:val="bullet"/>
      <w:pStyle w:val="Bullet-Level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BF3E24"/>
    <w:multiLevelType w:val="multilevel"/>
    <w:tmpl w:val="71788364"/>
    <w:lvl w:ilvl="0">
      <w:start w:val="1"/>
      <w:numFmt w:val="bullet"/>
      <w:pStyle w:val="Bullet-Level1B"/>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AE7269"/>
    <w:multiLevelType w:val="multilevel"/>
    <w:tmpl w:val="D74E5266"/>
    <w:lvl w:ilvl="0">
      <w:start w:val="1"/>
      <w:numFmt w:val="decimal"/>
      <w:lvlText w:val="%1.0"/>
      <w:lvlJc w:val="left"/>
      <w:pPr>
        <w:ind w:left="620" w:hanging="620"/>
      </w:pPr>
    </w:lvl>
    <w:lvl w:ilvl="1">
      <w:start w:val="1"/>
      <w:numFmt w:val="decimal"/>
      <w:lvlText w:val="%1.%2"/>
      <w:lvlJc w:val="left"/>
      <w:pPr>
        <w:ind w:left="1340" w:hanging="6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56E01D00"/>
    <w:multiLevelType w:val="multilevel"/>
    <w:tmpl w:val="8F4E2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52663F"/>
    <w:multiLevelType w:val="multilevel"/>
    <w:tmpl w:val="B8784D68"/>
    <w:lvl w:ilvl="0">
      <w:start w:val="1"/>
      <w:numFmt w:val="bullet"/>
      <w:pStyle w:val="Bullet-Level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380589"/>
    <w:multiLevelType w:val="multilevel"/>
    <w:tmpl w:val="342AAA42"/>
    <w:lvl w:ilvl="0">
      <w:start w:val="1"/>
      <w:numFmt w:val="bullet"/>
      <w:pStyle w:val="Numbered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E65AF5"/>
    <w:multiLevelType w:val="multilevel"/>
    <w:tmpl w:val="7090B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8066D0"/>
    <w:multiLevelType w:val="multilevel"/>
    <w:tmpl w:val="1200107A"/>
    <w:lvl w:ilvl="0">
      <w:start w:val="1"/>
      <w:numFmt w:val="bullet"/>
      <w:pStyle w:val="Bullet-Level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2248704">
    <w:abstractNumId w:val="6"/>
  </w:num>
  <w:num w:numId="2" w16cid:durableId="1493717705">
    <w:abstractNumId w:val="7"/>
  </w:num>
  <w:num w:numId="3" w16cid:durableId="1067923175">
    <w:abstractNumId w:val="4"/>
  </w:num>
  <w:num w:numId="4" w16cid:durableId="822817108">
    <w:abstractNumId w:val="0"/>
  </w:num>
  <w:num w:numId="5" w16cid:durableId="1371762976">
    <w:abstractNumId w:val="1"/>
  </w:num>
  <w:num w:numId="6" w16cid:durableId="333923818">
    <w:abstractNumId w:val="5"/>
  </w:num>
  <w:num w:numId="7" w16cid:durableId="1123698181">
    <w:abstractNumId w:val="2"/>
  </w:num>
  <w:num w:numId="8" w16cid:durableId="1395153622">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EDF"/>
    <w:rsid w:val="00065131"/>
    <w:rsid w:val="000D47AE"/>
    <w:rsid w:val="00382EDF"/>
    <w:rsid w:val="005A7AEE"/>
    <w:rsid w:val="005B5EF1"/>
    <w:rsid w:val="005D045C"/>
    <w:rsid w:val="006E0586"/>
    <w:rsid w:val="00887D4F"/>
    <w:rsid w:val="00940D7B"/>
    <w:rsid w:val="009F242A"/>
    <w:rsid w:val="00A373B0"/>
    <w:rsid w:val="00AC0A9F"/>
    <w:rsid w:val="00B61679"/>
    <w:rsid w:val="00C4758E"/>
    <w:rsid w:val="00C83C66"/>
    <w:rsid w:val="00CE1149"/>
    <w:rsid w:val="00D51621"/>
    <w:rsid w:val="00D5771F"/>
    <w:rsid w:val="00DB48C3"/>
    <w:rsid w:val="00E83C28"/>
    <w:rsid w:val="00F07089"/>
    <w:rsid w:val="00FF5C72"/>
    <w:rsid w:val="0F95092D"/>
    <w:rsid w:val="25E0C4B9"/>
    <w:rsid w:val="2FAB49C0"/>
    <w:rsid w:val="3217DB3B"/>
    <w:rsid w:val="5512286D"/>
    <w:rsid w:val="596E0ACC"/>
    <w:rsid w:val="5B77CA2F"/>
    <w:rsid w:val="686E15C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E3E43"/>
  <w15:docId w15:val="{A8CBDBA1-29A1-4F77-92C7-6EC928752B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lang w:val="en-GB" w:eastAsia="zh-CN" w:bidi="th-TH"/>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520"/>
      <w:outlineLvl w:val="0"/>
    </w:pPr>
    <w:rPr>
      <w:b/>
      <w:bCs/>
      <w:color w:val="005B7F"/>
      <w:sz w:val="36"/>
      <w:szCs w:val="36"/>
    </w:rPr>
  </w:style>
  <w:style w:type="paragraph" w:styleId="Heading2">
    <w:name w:val="heading 2"/>
    <w:basedOn w:val="Normal"/>
    <w:next w:val="Normal"/>
    <w:link w:val="Heading2Char"/>
    <w:uiPriority w:val="9"/>
    <w:unhideWhenUsed/>
    <w:qFormat/>
    <w:pPr>
      <w:keepNext/>
      <w:keepLines/>
      <w:spacing w:before="440" w:after="120"/>
      <w:outlineLvl w:val="1"/>
    </w:pPr>
    <w:rPr>
      <w:b/>
      <w:bCs/>
      <w:color w:val="2B8F92"/>
      <w:sz w:val="28"/>
      <w:szCs w:val="28"/>
    </w:rPr>
  </w:style>
  <w:style w:type="paragraph" w:styleId="Heading3">
    <w:name w:val="heading 3"/>
    <w:basedOn w:val="Normal"/>
    <w:next w:val="Normal"/>
    <w:link w:val="Heading3Char"/>
    <w:uiPriority w:val="9"/>
    <w:unhideWhenUsed/>
    <w:qFormat/>
    <w:pPr>
      <w:keepNext/>
      <w:keepLines/>
      <w:spacing w:before="360" w:after="80"/>
      <w:outlineLvl w:val="2"/>
    </w:pPr>
    <w:rPr>
      <w:b/>
      <w:bCs/>
      <w:color w:val="2B8F92"/>
      <w:sz w:val="22"/>
      <w:szCs w:val="22"/>
    </w:rPr>
  </w:style>
  <w:style w:type="paragraph" w:styleId="Heading4">
    <w:name w:val="heading 4"/>
    <w:basedOn w:val="Normal"/>
    <w:next w:val="Normal"/>
    <w:link w:val="Heading4Char"/>
    <w:uiPriority w:val="9"/>
    <w:unhideWhenUsed/>
    <w:qFormat/>
    <w:pPr>
      <w:keepNext/>
      <w:keepLines/>
      <w:spacing w:before="40" w:after="80"/>
      <w:outlineLvl w:val="3"/>
    </w:pPr>
    <w:rPr>
      <w:b/>
      <w:bCs/>
      <w:color w:val="2B8F92"/>
    </w:rPr>
  </w:style>
  <w:style w:type="paragraph" w:styleId="Heading5">
    <w:name w:val="heading 5"/>
    <w:basedOn w:val="Normal"/>
    <w:next w:val="Normal"/>
    <w:link w:val="Heading5Char"/>
    <w:uiPriority w:val="9"/>
    <w:semiHidden/>
    <w:unhideWhenUsed/>
    <w:qFormat/>
    <w:pPr>
      <w:keepNext/>
      <w:keepLines/>
      <w:spacing w:before="40" w:after="80"/>
      <w:outlineLvl w:val="4"/>
    </w:pPr>
    <w:rPr>
      <w:color w:val="2B8F92"/>
    </w:rPr>
  </w:style>
  <w:style w:type="paragraph" w:styleId="Heading6">
    <w:name w:val="heading 6"/>
    <w:basedOn w:val="Normal"/>
    <w:next w:val="Normal"/>
    <w:link w:val="Heading6Char"/>
    <w:uiPriority w:val="9"/>
    <w:semiHidden/>
    <w:unhideWhenUsed/>
    <w:qFormat/>
    <w:pPr>
      <w:keepNext/>
      <w:keepLines/>
      <w:spacing w:before="40" w:after="80"/>
      <w:outlineLvl w:val="5"/>
    </w:pPr>
    <w:rPr>
      <w:color w:val="005B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360"/>
    </w:pPr>
    <w:rPr>
      <w:b/>
      <w:bCs/>
      <w:color w:val="005B7F"/>
      <w:sz w:val="44"/>
      <w:szCs w:val="44"/>
    </w:rPr>
  </w:style>
  <w:style w:type="table" w:styleId="TableNormal1" w:customStyle="1">
    <w:name w:val="TableNormal0"/>
    <w:tblPr>
      <w:tblCellMar>
        <w:top w:w="0" w:type="dxa"/>
        <w:left w:w="0" w:type="dxa"/>
        <w:bottom w:w="0" w:type="dxa"/>
        <w:right w:w="0" w:type="dxa"/>
      </w:tblCellMar>
    </w:tblPr>
  </w:style>
  <w:style w:type="paragraph" w:styleId="NoSpacing">
    <w:name w:val="No Spacing"/>
    <w:uiPriority w:val="1"/>
    <w:qFormat/>
    <w:rsid w:val="00B06EE2"/>
  </w:style>
  <w:style w:type="character" w:styleId="Heading1Char" w:customStyle="1">
    <w:name w:val="Heading 1 Char"/>
    <w:basedOn w:val="DefaultParagraphFont"/>
    <w:link w:val="Heading1"/>
    <w:uiPriority w:val="9"/>
    <w:rsid w:val="007314B5"/>
    <w:rPr>
      <w:b/>
      <w:bCs/>
      <w:color w:val="005B7F"/>
      <w:sz w:val="36"/>
      <w:szCs w:val="36"/>
    </w:rPr>
  </w:style>
  <w:style w:type="character" w:styleId="Heading2Char" w:customStyle="1">
    <w:name w:val="Heading 2 Char"/>
    <w:basedOn w:val="DefaultParagraphFont"/>
    <w:link w:val="Heading2"/>
    <w:uiPriority w:val="9"/>
    <w:rsid w:val="008106A8"/>
    <w:rPr>
      <w:b/>
      <w:bCs/>
      <w:color w:val="2B8F92"/>
      <w:sz w:val="28"/>
      <w:szCs w:val="28"/>
    </w:rPr>
  </w:style>
  <w:style w:type="character" w:styleId="TitleChar" w:customStyle="1">
    <w:name w:val="Title Char"/>
    <w:basedOn w:val="DefaultParagraphFont"/>
    <w:link w:val="Title"/>
    <w:uiPriority w:val="10"/>
    <w:rsid w:val="00D92556"/>
    <w:rPr>
      <w:rFonts w:ascii="Arial" w:hAnsi="Arial" w:cs="Times New Roman (Headings CS)" w:eastAsiaTheme="majorEastAsia"/>
      <w:b/>
      <w:color w:val="005B7F"/>
      <w:kern w:val="28"/>
      <w:sz w:val="44"/>
      <w:szCs w:val="56"/>
    </w:rPr>
  </w:style>
  <w:style w:type="character" w:styleId="SubtitleChar" w:customStyle="1">
    <w:name w:val="Subtitle Char"/>
    <w:basedOn w:val="DefaultParagraphFont"/>
    <w:link w:val="Subtitle"/>
    <w:uiPriority w:val="11"/>
    <w:rsid w:val="00B06EE2"/>
    <w:rPr>
      <w:rFonts w:ascii="Arial" w:hAnsi="Arial" w:eastAsiaTheme="minorEastAsia"/>
      <w:color w:val="5A5A5A" w:themeColor="text1" w:themeTint="A5"/>
      <w:spacing w:val="15"/>
      <w:sz w:val="20"/>
      <w:szCs w:val="22"/>
    </w:rPr>
  </w:style>
  <w:style w:type="character" w:styleId="IntenseEmphasis">
    <w:name w:val="Intense Emphasis"/>
    <w:basedOn w:val="DefaultParagraphFont"/>
    <w:uiPriority w:val="21"/>
    <w:qFormat/>
    <w:rsid w:val="00B06EE2"/>
    <w:rPr>
      <w:i/>
      <w:iCs/>
      <w:color w:val="297F81"/>
    </w:rPr>
  </w:style>
  <w:style w:type="character" w:styleId="IntenseReference">
    <w:name w:val="Intense Reference"/>
    <w:basedOn w:val="DefaultParagraphFont"/>
    <w:uiPriority w:val="32"/>
    <w:qFormat/>
    <w:rsid w:val="00B06EE2"/>
    <w:rPr>
      <w:b/>
      <w:bCs/>
      <w:smallCaps/>
      <w:color w:val="297F81"/>
      <w:spacing w:val="5"/>
    </w:rPr>
  </w:style>
  <w:style w:type="paragraph" w:styleId="IntenseQuote">
    <w:name w:val="Intense Quote"/>
    <w:basedOn w:val="Normal"/>
    <w:next w:val="Normal"/>
    <w:link w:val="IntenseQuoteChar"/>
    <w:uiPriority w:val="30"/>
    <w:qFormat/>
    <w:rsid w:val="00B06EE2"/>
    <w:pPr>
      <w:pBdr>
        <w:top w:val="single" w:color="4472C4" w:themeColor="accent1" w:sz="4" w:space="10"/>
        <w:bottom w:val="single" w:color="4472C4" w:themeColor="accent1" w:sz="4" w:space="10"/>
      </w:pBdr>
      <w:spacing w:before="360" w:after="360"/>
      <w:ind w:left="864" w:right="864"/>
      <w:jc w:val="center"/>
    </w:pPr>
    <w:rPr>
      <w:i/>
      <w:iCs/>
      <w:color w:val="005575"/>
    </w:rPr>
  </w:style>
  <w:style w:type="character" w:styleId="IntenseQuoteChar" w:customStyle="1">
    <w:name w:val="Intense Quote Char"/>
    <w:basedOn w:val="DefaultParagraphFont"/>
    <w:link w:val="IntenseQuote"/>
    <w:uiPriority w:val="30"/>
    <w:rsid w:val="00B06EE2"/>
    <w:rPr>
      <w:rFonts w:ascii="Arial" w:hAnsi="Arial"/>
      <w:i/>
      <w:iCs/>
      <w:color w:val="005575"/>
      <w:sz w:val="20"/>
    </w:rPr>
  </w:style>
  <w:style w:type="paragraph" w:styleId="Header">
    <w:name w:val="header"/>
    <w:basedOn w:val="Normal"/>
    <w:link w:val="HeaderChar"/>
    <w:uiPriority w:val="99"/>
    <w:unhideWhenUsed/>
    <w:rsid w:val="00FD66D5"/>
    <w:pPr>
      <w:tabs>
        <w:tab w:val="center" w:pos="4513"/>
        <w:tab w:val="right" w:pos="9026"/>
      </w:tabs>
    </w:pPr>
  </w:style>
  <w:style w:type="character" w:styleId="HeaderChar" w:customStyle="1">
    <w:name w:val="Header Char"/>
    <w:basedOn w:val="DefaultParagraphFont"/>
    <w:link w:val="Header"/>
    <w:uiPriority w:val="99"/>
    <w:rsid w:val="00FD66D5"/>
    <w:rPr>
      <w:rFonts w:ascii="Arial" w:hAnsi="Arial"/>
      <w:sz w:val="20"/>
    </w:rPr>
  </w:style>
  <w:style w:type="paragraph" w:styleId="Footer">
    <w:name w:val="footer"/>
    <w:basedOn w:val="Normal"/>
    <w:link w:val="FooterChar"/>
    <w:uiPriority w:val="99"/>
    <w:unhideWhenUsed/>
    <w:rsid w:val="00FD66D5"/>
    <w:pPr>
      <w:tabs>
        <w:tab w:val="center" w:pos="4513"/>
        <w:tab w:val="right" w:pos="9026"/>
      </w:tabs>
    </w:pPr>
  </w:style>
  <w:style w:type="character" w:styleId="FooterChar" w:customStyle="1">
    <w:name w:val="Footer Char"/>
    <w:basedOn w:val="DefaultParagraphFont"/>
    <w:link w:val="Footer"/>
    <w:uiPriority w:val="99"/>
    <w:rsid w:val="00FD66D5"/>
    <w:rPr>
      <w:rFonts w:ascii="Arial" w:hAnsi="Arial"/>
      <w:sz w:val="20"/>
    </w:rPr>
  </w:style>
  <w:style w:type="table" w:styleId="TableGrid">
    <w:name w:val="Table Grid"/>
    <w:basedOn w:val="TableNormal"/>
    <w:uiPriority w:val="59"/>
    <w:rsid w:val="0031543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BC4215"/>
    <w:rPr>
      <w:b/>
      <w:bCs/>
    </w:rPr>
  </w:style>
  <w:style w:type="character" w:styleId="Hyperlink">
    <w:name w:val="Hyperlink"/>
    <w:basedOn w:val="DefaultParagraphFont"/>
    <w:uiPriority w:val="99"/>
    <w:unhideWhenUsed/>
    <w:rsid w:val="00121701"/>
    <w:rPr>
      <w:color w:val="297F81"/>
      <w:u w:val="none"/>
    </w:rPr>
  </w:style>
  <w:style w:type="character" w:styleId="FollowedHyperlink">
    <w:name w:val="FollowedHyperlink"/>
    <w:basedOn w:val="DefaultParagraphFont"/>
    <w:uiPriority w:val="99"/>
    <w:semiHidden/>
    <w:unhideWhenUsed/>
    <w:rsid w:val="00372265"/>
    <w:rPr>
      <w:color w:val="954F72" w:themeColor="followedHyperlink"/>
      <w:u w:val="single"/>
    </w:rPr>
  </w:style>
  <w:style w:type="table" w:styleId="TableGrid1" w:customStyle="1">
    <w:name w:val="Table Grid1"/>
    <w:basedOn w:val="TableNormal"/>
    <w:next w:val="TableGrid"/>
    <w:uiPriority w:val="59"/>
    <w:rsid w:val="00AA46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8106A8"/>
    <w:rPr>
      <w:b/>
      <w:bCs/>
      <w:color w:val="2B8F92"/>
      <w:sz w:val="22"/>
      <w:szCs w:val="22"/>
    </w:rPr>
  </w:style>
  <w:style w:type="character" w:styleId="Heading4Char" w:customStyle="1">
    <w:name w:val="Heading 4 Char"/>
    <w:basedOn w:val="DefaultParagraphFont"/>
    <w:link w:val="Heading4"/>
    <w:uiPriority w:val="9"/>
    <w:rsid w:val="005A0E87"/>
    <w:rPr>
      <w:b/>
      <w:bCs/>
      <w:color w:val="2B8F92"/>
    </w:rPr>
  </w:style>
  <w:style w:type="paragraph" w:styleId="ListParagraph">
    <w:name w:val="List Paragraph"/>
    <w:basedOn w:val="Normal"/>
    <w:link w:val="ListParagraphChar"/>
    <w:uiPriority w:val="34"/>
    <w:qFormat/>
    <w:rsid w:val="008106A8"/>
    <w:pPr>
      <w:spacing w:after="160" w:line="360" w:lineRule="auto"/>
      <w:ind w:left="284"/>
      <w:contextualSpacing/>
    </w:pPr>
    <w:rPr>
      <w:szCs w:val="22"/>
    </w:rPr>
  </w:style>
  <w:style w:type="character" w:styleId="ListParagraphChar" w:customStyle="1">
    <w:name w:val="List Paragraph Char"/>
    <w:link w:val="ListParagraph"/>
    <w:uiPriority w:val="34"/>
    <w:locked/>
    <w:rsid w:val="008106A8"/>
    <w:rPr>
      <w:rFonts w:ascii="Arial" w:hAnsi="Arial"/>
      <w:sz w:val="20"/>
      <w:szCs w:val="22"/>
    </w:rPr>
  </w:style>
  <w:style w:type="paragraph" w:styleId="Cover-Details" w:customStyle="1">
    <w:name w:val="Cover - Details"/>
    <w:qFormat/>
    <w:rsid w:val="001D1A9B"/>
    <w:pPr>
      <w:spacing w:after="40" w:line="240" w:lineRule="atLeast"/>
    </w:pPr>
    <w:rPr>
      <w:rFonts w:cs="Times New Roman (Headings CS)" w:eastAsiaTheme="majorEastAsia"/>
      <w:color w:val="FFFFFF" w:themeColor="background1"/>
      <w:kern w:val="28"/>
      <w:sz w:val="18"/>
      <w:szCs w:val="44"/>
    </w:rPr>
  </w:style>
  <w:style w:type="character" w:styleId="Emphasis">
    <w:name w:val="Emphasis"/>
    <w:basedOn w:val="DefaultParagraphFont"/>
    <w:uiPriority w:val="20"/>
    <w:qFormat/>
    <w:rsid w:val="00121701"/>
    <w:rPr>
      <w:i/>
      <w:iCs/>
    </w:rPr>
  </w:style>
  <w:style w:type="character" w:styleId="SubtleEmphasis">
    <w:name w:val="Subtle Emphasis"/>
    <w:basedOn w:val="DefaultParagraphFont"/>
    <w:uiPriority w:val="19"/>
    <w:qFormat/>
    <w:rsid w:val="00121701"/>
    <w:rPr>
      <w:i/>
      <w:iCs/>
      <w:color w:val="404040" w:themeColor="text1" w:themeTint="BF"/>
    </w:rPr>
  </w:style>
  <w:style w:type="paragraph" w:styleId="BalloonText">
    <w:name w:val="Balloon Text"/>
    <w:basedOn w:val="Normal"/>
    <w:link w:val="BalloonTextChar"/>
    <w:uiPriority w:val="99"/>
    <w:semiHidden/>
    <w:unhideWhenUsed/>
    <w:rsid w:val="00974849"/>
    <w:pPr>
      <w:spacing w:after="0"/>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974849"/>
    <w:rPr>
      <w:rFonts w:ascii="Times New Roman" w:hAnsi="Times New Roman" w:cs="Times New Roman"/>
      <w:sz w:val="18"/>
      <w:szCs w:val="18"/>
    </w:rPr>
  </w:style>
  <w:style w:type="paragraph" w:styleId="Cover-Subheading" w:customStyle="1">
    <w:name w:val="Cover - Subheading"/>
    <w:basedOn w:val="Cover-Heading"/>
    <w:qFormat/>
    <w:rsid w:val="00D92556"/>
    <w:pPr>
      <w:spacing w:line="400" w:lineRule="atLeast"/>
    </w:pPr>
    <w:rPr>
      <w:sz w:val="28"/>
      <w:szCs w:val="44"/>
    </w:rPr>
  </w:style>
  <w:style w:type="paragraph" w:styleId="Cover-Heading" w:customStyle="1">
    <w:name w:val="Cover - Heading"/>
    <w:basedOn w:val="Title"/>
    <w:qFormat/>
    <w:rsid w:val="009B079F"/>
    <w:pPr>
      <w:spacing w:after="120"/>
    </w:pPr>
    <w:rPr>
      <w:b w:val="0"/>
      <w:color w:val="FFFFFF" w:themeColor="background1"/>
      <w:sz w:val="72"/>
      <w:szCs w:val="72"/>
    </w:rPr>
  </w:style>
  <w:style w:type="character" w:styleId="UnresolvedMention">
    <w:name w:val="Unresolved Mention"/>
    <w:basedOn w:val="DefaultParagraphFont"/>
    <w:uiPriority w:val="99"/>
    <w:semiHidden/>
    <w:unhideWhenUsed/>
    <w:rsid w:val="00617B56"/>
    <w:rPr>
      <w:color w:val="605E5C"/>
      <w:shd w:val="clear" w:color="auto" w:fill="E1DFDD"/>
    </w:rPr>
  </w:style>
  <w:style w:type="paragraph" w:styleId="TableStyle" w:customStyle="1">
    <w:name w:val="Table Style"/>
    <w:basedOn w:val="Normal"/>
    <w:qFormat/>
    <w:rsid w:val="009B7A6C"/>
    <w:pPr>
      <w:spacing w:before="60" w:after="60"/>
    </w:pPr>
    <w:rPr>
      <w:color w:val="000000" w:themeColor="text1"/>
    </w:rPr>
  </w:style>
  <w:style w:type="paragraph" w:styleId="Cover-Disclaimer" w:customStyle="1">
    <w:name w:val="Cover - Disclaimer"/>
    <w:qFormat/>
    <w:rsid w:val="005861E9"/>
    <w:pPr>
      <w:spacing w:after="120" w:line="200" w:lineRule="atLeast"/>
    </w:pPr>
    <w:rPr>
      <w:rFonts w:cs="Times New Roman (Headings CS)" w:eastAsiaTheme="majorEastAsia"/>
      <w:color w:val="FFFFFF" w:themeColor="background1"/>
      <w:kern w:val="28"/>
      <w:sz w:val="15"/>
      <w:szCs w:val="14"/>
    </w:rPr>
  </w:style>
  <w:style w:type="paragraph" w:styleId="TableStyle-Small" w:customStyle="1">
    <w:name w:val="Table Style - Small"/>
    <w:basedOn w:val="NoSpacing"/>
    <w:qFormat/>
    <w:rsid w:val="00023439"/>
    <w:rPr>
      <w:color w:val="000000" w:themeColor="text1"/>
      <w:sz w:val="18"/>
      <w:szCs w:val="22"/>
    </w:rPr>
  </w:style>
  <w:style w:type="paragraph" w:styleId="Cover-Kicker" w:customStyle="1">
    <w:name w:val="Cover - Kicker"/>
    <w:next w:val="Cover-Heading"/>
    <w:qFormat/>
    <w:rsid w:val="00E84212"/>
    <w:pPr>
      <w:spacing w:before="1800" w:after="120" w:line="240" w:lineRule="atLeast"/>
    </w:pPr>
    <w:rPr>
      <w:rFonts w:cs="Times New Roman (Headings CS)" w:eastAsiaTheme="majorEastAsia"/>
      <w:b/>
      <w:color w:val="8BD3DD"/>
      <w:kern w:val="28"/>
    </w:rPr>
  </w:style>
  <w:style w:type="paragraph" w:styleId="Disclaimer" w:customStyle="1">
    <w:name w:val="Disclaimer"/>
    <w:basedOn w:val="Normal"/>
    <w:qFormat/>
    <w:rsid w:val="009B079F"/>
    <w:pPr>
      <w:widowControl w:val="0"/>
      <w:tabs>
        <w:tab w:val="left" w:pos="425"/>
        <w:tab w:val="left" w:pos="936"/>
        <w:tab w:val="left" w:pos="2701"/>
      </w:tabs>
      <w:suppressAutoHyphens/>
      <w:autoSpaceDE w:val="0"/>
      <w:autoSpaceDN w:val="0"/>
      <w:adjustRightInd w:val="0"/>
      <w:spacing w:after="170"/>
      <w:jc w:val="both"/>
      <w:textAlignment w:val="center"/>
    </w:pPr>
    <w:rPr>
      <w:rFonts w:cs="ArialMT" w:asciiTheme="majorHAnsi" w:hAnsiTheme="majorHAnsi"/>
      <w:color w:val="000000" w:themeColor="text1"/>
      <w:spacing w:val="-4"/>
      <w:position w:val="3"/>
      <w:sz w:val="17"/>
      <w:szCs w:val="16"/>
      <w:lang w:val="en-US"/>
    </w:rPr>
  </w:style>
  <w:style w:type="character" w:styleId="Heading5Char" w:customStyle="1">
    <w:name w:val="Heading 5 Char"/>
    <w:basedOn w:val="DefaultParagraphFont"/>
    <w:link w:val="Heading5"/>
    <w:uiPriority w:val="9"/>
    <w:semiHidden/>
    <w:rsid w:val="005A0E87"/>
    <w:rPr>
      <w:color w:val="2B8F92"/>
    </w:rPr>
  </w:style>
  <w:style w:type="character" w:styleId="Heading6Char" w:customStyle="1">
    <w:name w:val="Heading 6 Char"/>
    <w:basedOn w:val="DefaultParagraphFont"/>
    <w:link w:val="Heading6"/>
    <w:uiPriority w:val="9"/>
    <w:semiHidden/>
    <w:rsid w:val="00474174"/>
    <w:rPr>
      <w:color w:val="005B7F"/>
    </w:rPr>
  </w:style>
  <w:style w:type="paragraph" w:styleId="Bullet-Level1" w:customStyle="1">
    <w:name w:val="Bullet - Level 1"/>
    <w:basedOn w:val="ListParagraph"/>
    <w:qFormat/>
    <w:rsid w:val="00537BCC"/>
    <w:pPr>
      <w:numPr>
        <w:numId w:val="2"/>
      </w:numPr>
    </w:pPr>
    <w:rPr>
      <w:color w:val="000000" w:themeColor="text1"/>
    </w:rPr>
  </w:style>
  <w:style w:type="paragraph" w:styleId="Bullet-Level2" w:customStyle="1">
    <w:name w:val="Bullet - Level 2"/>
    <w:basedOn w:val="Bullet-Level1"/>
    <w:qFormat/>
    <w:rsid w:val="006F29CB"/>
    <w:pPr>
      <w:numPr>
        <w:numId w:val="3"/>
      </w:numPr>
    </w:pPr>
  </w:style>
  <w:style w:type="paragraph" w:styleId="Bullet-Level3" w:customStyle="1">
    <w:name w:val="Bullet - Level 3"/>
    <w:basedOn w:val="Bullet-Level2"/>
    <w:qFormat/>
    <w:rsid w:val="00537BCC"/>
    <w:pPr>
      <w:numPr>
        <w:numId w:val="4"/>
      </w:numPr>
    </w:pPr>
  </w:style>
  <w:style w:type="paragraph" w:styleId="Bullet-Level1B" w:customStyle="1">
    <w:name w:val="Bullet - Level 1B"/>
    <w:basedOn w:val="Bullet-Level1"/>
    <w:qFormat/>
    <w:rsid w:val="00537BCC"/>
    <w:pPr>
      <w:numPr>
        <w:numId w:val="5"/>
      </w:numPr>
    </w:pPr>
  </w:style>
  <w:style w:type="character" w:styleId="PageNumber">
    <w:name w:val="page number"/>
    <w:basedOn w:val="DefaultParagraphFont"/>
    <w:uiPriority w:val="99"/>
    <w:semiHidden/>
    <w:unhideWhenUsed/>
    <w:rsid w:val="00A43DD8"/>
    <w:rPr>
      <w:rFonts w:ascii="Arial" w:hAnsi="Arial"/>
      <w:color w:val="005B7F"/>
      <w:sz w:val="18"/>
    </w:rPr>
  </w:style>
  <w:style w:type="paragraph" w:styleId="TOC1">
    <w:name w:val="toc 1"/>
    <w:basedOn w:val="Normal"/>
    <w:next w:val="Normal"/>
    <w:autoRedefine/>
    <w:uiPriority w:val="39"/>
    <w:unhideWhenUsed/>
    <w:rsid w:val="00CC19E5"/>
    <w:pPr>
      <w:spacing w:before="120" w:after="240"/>
    </w:pPr>
    <w:rPr>
      <w:b/>
      <w:bCs/>
      <w:color w:val="005B7F"/>
      <w:sz w:val="24"/>
    </w:rPr>
  </w:style>
  <w:style w:type="paragraph" w:styleId="TOC2">
    <w:name w:val="toc 2"/>
    <w:basedOn w:val="Normal"/>
    <w:next w:val="Normal"/>
    <w:autoRedefine/>
    <w:uiPriority w:val="39"/>
    <w:unhideWhenUsed/>
    <w:rsid w:val="006F29CB"/>
    <w:pPr>
      <w:spacing w:before="240" w:after="0"/>
      <w:ind w:left="57"/>
    </w:pPr>
    <w:rPr>
      <w:iCs/>
      <w:color w:val="005B7F"/>
    </w:rPr>
  </w:style>
  <w:style w:type="paragraph" w:styleId="TOC3">
    <w:name w:val="toc 3"/>
    <w:basedOn w:val="Normal"/>
    <w:next w:val="Normal"/>
    <w:autoRedefine/>
    <w:uiPriority w:val="39"/>
    <w:unhideWhenUsed/>
    <w:rsid w:val="00A43DD8"/>
    <w:pPr>
      <w:spacing w:after="0"/>
      <w:ind w:left="400"/>
    </w:pPr>
    <w:rPr>
      <w:rFonts w:asciiTheme="minorHAnsi" w:hAnsiTheme="minorHAnsi"/>
    </w:rPr>
  </w:style>
  <w:style w:type="paragraph" w:styleId="TOC4">
    <w:name w:val="toc 4"/>
    <w:basedOn w:val="Normal"/>
    <w:next w:val="Normal"/>
    <w:autoRedefine/>
    <w:uiPriority w:val="39"/>
    <w:unhideWhenUsed/>
    <w:rsid w:val="00A43DD8"/>
    <w:pPr>
      <w:spacing w:after="0"/>
      <w:ind w:left="600"/>
    </w:pPr>
    <w:rPr>
      <w:rFonts w:asciiTheme="minorHAnsi" w:hAnsiTheme="minorHAnsi"/>
    </w:rPr>
  </w:style>
  <w:style w:type="paragraph" w:styleId="TOC5">
    <w:name w:val="toc 5"/>
    <w:basedOn w:val="Normal"/>
    <w:next w:val="Normal"/>
    <w:autoRedefine/>
    <w:uiPriority w:val="39"/>
    <w:unhideWhenUsed/>
    <w:rsid w:val="00A43DD8"/>
    <w:pPr>
      <w:spacing w:after="0"/>
      <w:ind w:left="800"/>
    </w:pPr>
    <w:rPr>
      <w:rFonts w:asciiTheme="minorHAnsi" w:hAnsiTheme="minorHAnsi"/>
    </w:rPr>
  </w:style>
  <w:style w:type="paragraph" w:styleId="TOC6">
    <w:name w:val="toc 6"/>
    <w:basedOn w:val="Normal"/>
    <w:next w:val="Normal"/>
    <w:autoRedefine/>
    <w:uiPriority w:val="39"/>
    <w:unhideWhenUsed/>
    <w:rsid w:val="00A43DD8"/>
    <w:pPr>
      <w:spacing w:after="0"/>
      <w:ind w:left="1000"/>
    </w:pPr>
    <w:rPr>
      <w:rFonts w:asciiTheme="minorHAnsi" w:hAnsiTheme="minorHAnsi"/>
    </w:rPr>
  </w:style>
  <w:style w:type="paragraph" w:styleId="TOC7">
    <w:name w:val="toc 7"/>
    <w:basedOn w:val="Normal"/>
    <w:next w:val="Normal"/>
    <w:autoRedefine/>
    <w:uiPriority w:val="39"/>
    <w:unhideWhenUsed/>
    <w:rsid w:val="00A43DD8"/>
    <w:pPr>
      <w:spacing w:after="0"/>
      <w:ind w:left="1200"/>
    </w:pPr>
    <w:rPr>
      <w:rFonts w:asciiTheme="minorHAnsi" w:hAnsiTheme="minorHAnsi"/>
    </w:rPr>
  </w:style>
  <w:style w:type="paragraph" w:styleId="TOC8">
    <w:name w:val="toc 8"/>
    <w:basedOn w:val="Normal"/>
    <w:next w:val="Normal"/>
    <w:autoRedefine/>
    <w:uiPriority w:val="39"/>
    <w:unhideWhenUsed/>
    <w:rsid w:val="00A43DD8"/>
    <w:pPr>
      <w:spacing w:after="0"/>
      <w:ind w:left="1400"/>
    </w:pPr>
    <w:rPr>
      <w:rFonts w:asciiTheme="minorHAnsi" w:hAnsiTheme="minorHAnsi"/>
    </w:rPr>
  </w:style>
  <w:style w:type="paragraph" w:styleId="TOC9">
    <w:name w:val="toc 9"/>
    <w:basedOn w:val="Normal"/>
    <w:next w:val="Normal"/>
    <w:autoRedefine/>
    <w:uiPriority w:val="39"/>
    <w:unhideWhenUsed/>
    <w:rsid w:val="00A43DD8"/>
    <w:pPr>
      <w:spacing w:after="0"/>
      <w:ind w:left="1600"/>
    </w:pPr>
    <w:rPr>
      <w:rFonts w:asciiTheme="minorHAnsi" w:hAnsiTheme="minorHAnsi"/>
    </w:rPr>
  </w:style>
  <w:style w:type="paragraph" w:styleId="TableHeader" w:customStyle="1">
    <w:name w:val="Table Header"/>
    <w:basedOn w:val="TableStyle"/>
    <w:qFormat/>
    <w:rsid w:val="00684212"/>
    <w:rPr>
      <w:color w:val="005575"/>
    </w:rPr>
  </w:style>
  <w:style w:type="paragraph" w:styleId="NumberedList" w:customStyle="1">
    <w:name w:val="Numbered List"/>
    <w:basedOn w:val="Bullet-Level1"/>
    <w:qFormat/>
    <w:rsid w:val="00684212"/>
    <w:pPr>
      <w:numPr>
        <w:numId w:val="6"/>
      </w:numPr>
    </w:pPr>
  </w:style>
  <w:style w:type="paragraph" w:styleId="Revision">
    <w:name w:val="Revision"/>
    <w:hidden/>
    <w:uiPriority w:val="99"/>
    <w:semiHidden/>
    <w:rsid w:val="000A55D8"/>
  </w:style>
  <w:style w:type="character" w:styleId="CommentReference">
    <w:name w:val="Comment Reference"/>
    <w:basedOn w:val="DefaultParagraphFont"/>
    <w:uiPriority w:val="99"/>
    <w:semiHidden/>
    <w:unhideWhenUsed/>
    <w:rsid w:val="00B9581B"/>
    <w:rPr>
      <w:sz w:val="16"/>
      <w:szCs w:val="16"/>
    </w:rPr>
  </w:style>
  <w:style w:type="paragraph" w:styleId="CommentText">
    <w:name w:val="Comment Text"/>
    <w:basedOn w:val="Normal"/>
    <w:link w:val="CommentTextChar"/>
    <w:uiPriority w:val="99"/>
    <w:unhideWhenUsed/>
    <w:rsid w:val="00B9581B"/>
  </w:style>
  <w:style w:type="character" w:styleId="CommentTextChar" w:customStyle="1">
    <w:name w:val="Comment Text Char"/>
    <w:basedOn w:val="DefaultParagraphFont"/>
    <w:link w:val="CommentText"/>
    <w:uiPriority w:val="99"/>
    <w:rsid w:val="00B9581B"/>
  </w:style>
  <w:style w:type="paragraph" w:styleId="CommentSubject">
    <w:name w:val="Comment Subject"/>
    <w:basedOn w:val="CommentText"/>
    <w:next w:val="CommentText"/>
    <w:link w:val="CommentSubjectChar"/>
    <w:uiPriority w:val="99"/>
    <w:semiHidden/>
    <w:unhideWhenUsed/>
    <w:rsid w:val="00B9581B"/>
    <w:rPr>
      <w:b/>
      <w:bCs/>
    </w:rPr>
  </w:style>
  <w:style w:type="character" w:styleId="CommentSubjectChar" w:customStyle="1">
    <w:name w:val="Comment Subject Char"/>
    <w:basedOn w:val="CommentTextChar"/>
    <w:link w:val="CommentSubject"/>
    <w:uiPriority w:val="99"/>
    <w:semiHidden/>
    <w:rsid w:val="00B9581B"/>
    <w:rPr>
      <w:rFonts w:ascii="Arial" w:hAnsi="Arial"/>
      <w:b/>
      <w:bCs/>
      <w:sz w:val="20"/>
      <w:szCs w:val="20"/>
    </w:rPr>
  </w:style>
  <w:style w:type="paragraph" w:styleId="EndNoteBibliographyTitle" w:customStyle="1">
    <w:name w:val="EndNote Bibliography Title"/>
    <w:basedOn w:val="Normal"/>
    <w:link w:val="EndNoteBibliographyTitleChar"/>
    <w:rsid w:val="00816152"/>
    <w:pPr>
      <w:spacing w:after="0"/>
      <w:jc w:val="center"/>
    </w:pPr>
    <w:rPr>
      <w:noProof/>
      <w:lang w:val="en-US"/>
    </w:rPr>
  </w:style>
  <w:style w:type="character" w:styleId="EndNoteBibliographyTitleChar" w:customStyle="1">
    <w:name w:val="EndNote Bibliography Title Char"/>
    <w:basedOn w:val="DefaultParagraphFont"/>
    <w:link w:val="EndNoteBibliographyTitle"/>
    <w:rsid w:val="00816152"/>
    <w:rPr>
      <w:noProof/>
      <w:lang w:val="en-US"/>
    </w:rPr>
  </w:style>
  <w:style w:type="paragraph" w:styleId="EndNoteBibliography" w:customStyle="1">
    <w:name w:val="EndNote Bibliography"/>
    <w:basedOn w:val="Normal"/>
    <w:link w:val="EndNoteBibliographyChar"/>
    <w:rsid w:val="00816152"/>
    <w:pPr>
      <w:spacing w:line="240" w:lineRule="atLeast"/>
    </w:pPr>
    <w:rPr>
      <w:noProof/>
      <w:lang w:val="en-US"/>
    </w:rPr>
  </w:style>
  <w:style w:type="character" w:styleId="EndNoteBibliographyChar" w:customStyle="1">
    <w:name w:val="EndNote Bibliography Char"/>
    <w:basedOn w:val="DefaultParagraphFont"/>
    <w:link w:val="EndNoteBibliography"/>
    <w:rsid w:val="00816152"/>
    <w:rPr>
      <w:noProof/>
      <w:lang w:val="en-US"/>
    </w:rPr>
  </w:style>
  <w:style w:type="table" w:styleId="a" w:customStyle="1">
    <w:basedOn w:val="TableNormal"/>
    <w:tblPr>
      <w:tblStyleRowBandSize w:val="1"/>
      <w:tblStyleColBandSize w:val="1"/>
      <w:tblCellMar>
        <w:left w:w="57" w:type="dxa"/>
        <w:right w:w="0"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57" w:type="dxa"/>
        <w:right w:w="0"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top w:w="100" w:type="dxa"/>
        <w:left w:w="100" w:type="dxa"/>
        <w:bottom w:w="100" w:type="dxa"/>
        <w:right w:w="100" w:type="dxa"/>
      </w:tblCellMar>
    </w:tblPr>
  </w:style>
  <w:style w:type="table" w:styleId="af6" w:customStyle="1">
    <w:basedOn w:val="TableNormal"/>
    <w:tblPr>
      <w:tblStyleRowBandSize w:val="1"/>
      <w:tblStyleColBandSize w:val="1"/>
      <w:tblCellMar>
        <w:left w:w="115" w:type="dxa"/>
        <w:right w:w="115" w:type="dxa"/>
      </w:tblCellMar>
    </w:tblPr>
  </w:style>
  <w:style w:type="table" w:styleId="af7" w:customStyle="1">
    <w:basedOn w:val="TableNormal"/>
    <w:tblPr>
      <w:tblStyleRowBandSize w:val="1"/>
      <w:tblStyleColBandSize w:val="1"/>
      <w:tblCellMar>
        <w:left w:w="115" w:type="dxa"/>
        <w:right w:w="115" w:type="dxa"/>
      </w:tblCellMar>
    </w:tblPr>
  </w:style>
  <w:style w:type="table" w:styleId="af8" w:customStyle="1">
    <w:basedOn w:val="TableNormal"/>
    <w:tblPr>
      <w:tblStyleRowBandSize w:val="1"/>
      <w:tblStyleColBandSize w:val="1"/>
      <w:tblCellMar>
        <w:left w:w="115" w:type="dxa"/>
        <w:right w:w="115" w:type="dxa"/>
      </w:tblCellMar>
    </w:tblPr>
  </w:style>
  <w:style w:type="table" w:styleId="af9" w:customStyle="1">
    <w:basedOn w:val="TableNormal"/>
    <w:tblPr>
      <w:tblStyleRowBandSize w:val="1"/>
      <w:tblStyleColBandSize w:val="1"/>
      <w:tblCellMar>
        <w:left w:w="115" w:type="dxa"/>
        <w:right w:w="115" w:type="dxa"/>
      </w:tblCellMar>
    </w:tblPr>
  </w:style>
  <w:style w:type="table" w:styleId="afa" w:customStyle="1">
    <w:basedOn w:val="TableNormal"/>
    <w:tblPr>
      <w:tblStyleRowBandSize w:val="1"/>
      <w:tblStyleColBandSize w:val="1"/>
      <w:tblCellMar>
        <w:left w:w="115" w:type="dxa"/>
        <w:right w:w="115" w:type="dxa"/>
      </w:tblCellMar>
    </w:tblPr>
  </w:style>
  <w:style w:type="table" w:styleId="afb" w:customStyle="1">
    <w:basedOn w:val="TableNormal"/>
    <w:tblPr>
      <w:tblStyleRowBandSize w:val="1"/>
      <w:tblStyleColBandSize w:val="1"/>
      <w:tblCellMar>
        <w:left w:w="115" w:type="dxa"/>
        <w:right w:w="115" w:type="dxa"/>
      </w:tblCellMar>
    </w:tblPr>
  </w:style>
  <w:style w:type="table" w:styleId="afc" w:customStyle="1">
    <w:basedOn w:val="TableNormal"/>
    <w:tblPr>
      <w:tblStyleRowBandSize w:val="1"/>
      <w:tblStyleColBandSize w:val="1"/>
      <w:tblCellMar>
        <w:left w:w="115" w:type="dxa"/>
        <w:right w:w="115" w:type="dxa"/>
      </w:tblCellMar>
    </w:tblPr>
  </w:style>
  <w:style w:type="table" w:styleId="afd" w:customStyle="1">
    <w:basedOn w:val="TableNormal"/>
    <w:tblPr>
      <w:tblStyleRowBandSize w:val="1"/>
      <w:tblStyleColBandSize w:val="1"/>
      <w:tblCellMar>
        <w:left w:w="115" w:type="dxa"/>
        <w:right w:w="115" w:type="dxa"/>
      </w:tblCellMar>
    </w:tblPr>
  </w:style>
  <w:style w:type="table" w:styleId="afe" w:customStyle="1">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spacing w:after="160"/>
    </w:pPr>
    <w:rPr>
      <w:color w:val="5A5A5A"/>
    </w:rPr>
  </w:style>
  <w:style w:type="table" w:styleId="aff" w:customStyle="1">
    <w:basedOn w:val="TableNormal"/>
    <w:tblPr>
      <w:tblStyleRowBandSize w:val="1"/>
      <w:tblStyleColBandSize w:val="1"/>
      <w:tblCellMar>
        <w:left w:w="57" w:type="dxa"/>
        <w:right w:w="0" w:type="dxa"/>
      </w:tblCellMar>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p45B7HyooIdGTsthIC+SBYbdag==">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C4D8244A58C94DAE7F4C3116ECCA42" ma:contentTypeVersion="17" ma:contentTypeDescription="Create a new document." ma:contentTypeScope="" ma:versionID="063b750102a0cde339fe06c615ec5156">
  <xsd:schema xmlns:xsd="http://www.w3.org/2001/XMLSchema" xmlns:xs="http://www.w3.org/2001/XMLSchema" xmlns:p="http://schemas.microsoft.com/office/2006/metadata/properties" xmlns:ns1="http://schemas.microsoft.com/sharepoint/v3" xmlns:ns2="f8065530-227a-40b8-9199-93b0a0a9a990" xmlns:ns3="03511e3a-bea0-48f5-96ba-bd7a27cbea56" targetNamespace="http://schemas.microsoft.com/office/2006/metadata/properties" ma:root="true" ma:fieldsID="36771c3b9557ff75f6204db8ae34ee63" ns1:_="" ns2:_="" ns3:_="">
    <xsd:import namespace="http://schemas.microsoft.com/sharepoint/v3"/>
    <xsd:import namespace="f8065530-227a-40b8-9199-93b0a0a9a990"/>
    <xsd:import namespace="03511e3a-bea0-48f5-96ba-bd7a27cbea5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065530-227a-40b8-9199-93b0a0a9a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80ee08-4fae-410a-97bc-70b1e728bb3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511e3a-bea0-48f5-96ba-bd7a27cbea5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524366-d8c3-4d9f-bd82-fcba1619a030}" ma:internalName="TaxCatchAll" ma:showField="CatchAllData" ma:web="03511e3a-bea0-48f5-96ba-bd7a27cbea5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8065530-227a-40b8-9199-93b0a0a9a990">
      <Terms xmlns="http://schemas.microsoft.com/office/infopath/2007/PartnerControls"/>
    </lcf76f155ced4ddcb4097134ff3c332f>
    <TaxCatchAll xmlns="03511e3a-bea0-48f5-96ba-bd7a27cbea56"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63E65E-0A81-4BC7-840E-10A84F9C71BD}">
  <ds:schemaRefs>
    <ds:schemaRef ds:uri="http://schemas.microsoft.com/sharepoint/v3/contenttype/forms"/>
  </ds:schemaRefs>
</ds:datastoreItem>
</file>

<file path=customXml/itemProps3.xml><?xml version="1.0" encoding="utf-8"?>
<ds:datastoreItem xmlns:ds="http://schemas.openxmlformats.org/officeDocument/2006/customXml" ds:itemID="{7ACF1FAA-65EC-41E9-B17D-ED7D6A971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065530-227a-40b8-9199-93b0a0a9a990"/>
    <ds:schemaRef ds:uri="03511e3a-bea0-48f5-96ba-bd7a27cbe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71A388-EB32-4C36-A6B4-D545904116B3}">
  <ds:schemaRefs>
    <ds:schemaRef ds:uri="http://schemas.microsoft.com/office/2006/metadata/properties"/>
    <ds:schemaRef ds:uri="http://schemas.microsoft.com/office/infopath/2007/PartnerControls"/>
    <ds:schemaRef ds:uri="http://schemas.microsoft.com/sharepoint/v3"/>
    <ds:schemaRef ds:uri="f8065530-227a-40b8-9199-93b0a0a9a990"/>
    <ds:schemaRef ds:uri="03511e3a-bea0-48f5-96ba-bd7a27cbea5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Arielle Adrias</dc:creator>
  <lastModifiedBy>Shan Goodwin</lastModifiedBy>
  <revision>7</revision>
  <dcterms:created xsi:type="dcterms:W3CDTF">2026-02-18T04:57:00.0000000Z</dcterms:created>
  <dcterms:modified xsi:type="dcterms:W3CDTF">2026-04-01T23:55:05.1029139Z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960400</vt:r8>
  </property>
  <property fmtid="{D5CDD505-2E9C-101B-9397-08002B2CF9AE}" pid="3" name="MediaServiceImageTags">
    <vt:lpwstr/>
  </property>
  <property fmtid="{D5CDD505-2E9C-101B-9397-08002B2CF9AE}" pid="4" name="GrammarlyDocumentId">
    <vt:lpwstr>03cd1111dda6a3aa8a284ae4d5e5754ecbe78e16429178bb2ab9c8c05ab994be</vt:lpwstr>
  </property>
  <property fmtid="{D5CDD505-2E9C-101B-9397-08002B2CF9AE}" pid="5" name="ContentTypeId">
    <vt:lpwstr>0x010100CBC4D8244A58C94DAE7F4C3116ECCA42</vt:lpwstr>
  </property>
</Properties>
</file>