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CD5C"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79F657A1" w14:textId="77777777" w:rsidTr="00C45259">
        <w:tc>
          <w:tcPr>
            <w:tcW w:w="1702" w:type="dxa"/>
            <w:shd w:val="clear" w:color="auto" w:fill="E7E6E6"/>
          </w:tcPr>
          <w:p w14:paraId="59F333DD"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shd w:val="clear" w:color="auto" w:fill="auto"/>
          </w:tcPr>
          <w:p w14:paraId="62197F46" w14:textId="77777777" w:rsidR="0044733C" w:rsidRPr="00214D1A" w:rsidRDefault="0044733C" w:rsidP="005F469B">
            <w:pPr>
              <w:widowControl w:val="0"/>
              <w:spacing w:before="80" w:after="80"/>
              <w:ind w:right="72"/>
              <w:rPr>
                <w:rFonts w:ascii="Arial" w:hAnsi="Arial" w:cs="Arial"/>
                <w:sz w:val="18"/>
                <w:szCs w:val="18"/>
              </w:rPr>
            </w:pPr>
            <w:r w:rsidRPr="00214D1A">
              <w:rPr>
                <w:rFonts w:ascii="Arial" w:hAnsi="Arial" w:cs="Arial"/>
                <w:bCs/>
                <w:noProof/>
                <w:sz w:val="18"/>
                <w:szCs w:val="18"/>
              </w:rPr>
              <w:t>2026-1016-EOI110</w:t>
            </w:r>
          </w:p>
        </w:tc>
        <w:tc>
          <w:tcPr>
            <w:tcW w:w="1560" w:type="dxa"/>
            <w:shd w:val="clear" w:color="auto" w:fill="E7E6E6"/>
          </w:tcPr>
          <w:p w14:paraId="0734800B"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shd w:val="clear" w:color="auto" w:fill="auto"/>
          </w:tcPr>
          <w:p w14:paraId="0420D0C9" w14:textId="77777777" w:rsidR="0044733C" w:rsidRPr="00214D1A" w:rsidRDefault="00141AB2" w:rsidP="005F469B">
            <w:pPr>
              <w:widowControl w:val="0"/>
              <w:spacing w:before="80" w:after="80"/>
              <w:ind w:right="72"/>
              <w:rPr>
                <w:rFonts w:ascii="Arial" w:hAnsi="Arial" w:cs="Arial"/>
                <w:sz w:val="18"/>
                <w:szCs w:val="18"/>
              </w:rPr>
            </w:pPr>
            <w:r w:rsidRPr="00214D1A">
              <w:rPr>
                <w:rFonts w:ascii="Arial" w:hAnsi="Arial" w:cs="Arial"/>
                <w:bCs/>
                <w:noProof/>
                <w:sz w:val="18"/>
                <w:szCs w:val="18"/>
              </w:rPr>
              <w:t>30/9/2025</w:t>
            </w:r>
          </w:p>
        </w:tc>
      </w:tr>
    </w:tbl>
    <w:p w14:paraId="7A8CA68F"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79CBD3FB" w14:textId="77777777" w:rsidTr="00C45259">
        <w:tc>
          <w:tcPr>
            <w:tcW w:w="1702" w:type="dxa"/>
            <w:shd w:val="clear" w:color="auto" w:fill="E7E6E6"/>
          </w:tcPr>
          <w:p w14:paraId="00DEAB86"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shd w:val="clear" w:color="auto" w:fill="auto"/>
          </w:tcPr>
          <w:p w14:paraId="7966D29F"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2026-1016</w:t>
            </w:r>
          </w:p>
        </w:tc>
        <w:tc>
          <w:tcPr>
            <w:tcW w:w="2409" w:type="dxa"/>
            <w:shd w:val="clear" w:color="auto" w:fill="E7E6E6"/>
          </w:tcPr>
          <w:p w14:paraId="78AB1EA3"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Research Organisation</w:t>
            </w:r>
          </w:p>
        </w:tc>
        <w:tc>
          <w:tcPr>
            <w:tcW w:w="4962" w:type="dxa"/>
            <w:shd w:val="clear" w:color="auto" w:fill="auto"/>
          </w:tcPr>
          <w:p w14:paraId="57C348C7"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Optivly</w:t>
            </w:r>
          </w:p>
        </w:tc>
      </w:tr>
      <w:tr w:rsidR="0044733C" w:rsidRPr="00214D1A" w14:paraId="5E504FDB" w14:textId="77777777" w:rsidTr="00C45259">
        <w:tc>
          <w:tcPr>
            <w:tcW w:w="1702" w:type="dxa"/>
            <w:shd w:val="clear" w:color="auto" w:fill="E7E6E6"/>
          </w:tcPr>
          <w:p w14:paraId="1B902E49"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shd w:val="clear" w:color="auto" w:fill="auto"/>
          </w:tcPr>
          <w:p w14:paraId="054C61CB" w14:textId="220FF1FE" w:rsidR="0044733C" w:rsidRPr="00214D1A" w:rsidRDefault="00C902A5" w:rsidP="0044733C">
            <w:pPr>
              <w:widowControl w:val="0"/>
              <w:spacing w:before="80" w:after="80"/>
              <w:ind w:right="72"/>
              <w:rPr>
                <w:rFonts w:ascii="Arial" w:hAnsi="Arial" w:cs="Arial"/>
                <w:bCs/>
                <w:sz w:val="18"/>
                <w:szCs w:val="18"/>
              </w:rPr>
            </w:pPr>
            <w:r w:rsidRPr="00C902A5">
              <w:rPr>
                <w:rFonts w:ascii="Arial" w:hAnsi="Arial" w:cs="Arial"/>
                <w:bCs/>
                <w:noProof/>
                <w:sz w:val="18"/>
                <w:szCs w:val="18"/>
              </w:rPr>
              <w:t>AMPC Hub Learning Management System (LMS)</w:t>
            </w:r>
            <w:r>
              <w:rPr>
                <w:rFonts w:ascii="Arial" w:hAnsi="Arial" w:cs="Arial"/>
                <w:bCs/>
                <w:noProof/>
                <w:sz w:val="18"/>
                <w:szCs w:val="18"/>
              </w:rPr>
              <w:t xml:space="preserve"> </w:t>
            </w:r>
            <w:r w:rsidRPr="00C902A5">
              <w:rPr>
                <w:rFonts w:ascii="Arial" w:hAnsi="Arial" w:cs="Arial"/>
                <w:bCs/>
                <w:noProof/>
                <w:sz w:val="18"/>
                <w:szCs w:val="18"/>
              </w:rPr>
              <w:t>Adoption Program Part A</w:t>
            </w:r>
          </w:p>
        </w:tc>
      </w:tr>
    </w:tbl>
    <w:p w14:paraId="4A147DB8"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0496DF43" w14:textId="77777777" w:rsidTr="00C45259">
        <w:tc>
          <w:tcPr>
            <w:tcW w:w="10491" w:type="dxa"/>
            <w:shd w:val="clear" w:color="auto" w:fill="E7E6E6"/>
          </w:tcPr>
          <w:p w14:paraId="0F27CAAC"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2F501236" w14:textId="77777777" w:rsidTr="00C87585">
        <w:tc>
          <w:tcPr>
            <w:tcW w:w="10491" w:type="dxa"/>
            <w:shd w:val="clear" w:color="auto" w:fill="auto"/>
          </w:tcPr>
          <w:p w14:paraId="7004648A" w14:textId="77777777" w:rsidR="00C902A5"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AMPC is inviting processors to participate in the Hub LMS Adoption Program Part A. This project will support up to five plants over two years to successfully adopt and integrate the AMPC Knowledge Hub and its associated Learning Management System (LMS).</w:t>
            </w:r>
            <w:r w:rsidRPr="00214D1A">
              <w:rPr>
                <w:rFonts w:ascii="Arial" w:hAnsi="Arial" w:cs="Arial"/>
                <w:bCs/>
                <w:noProof/>
                <w:sz w:val="18"/>
                <w:szCs w:val="18"/>
              </w:rPr>
              <w:br/>
            </w:r>
            <w:r w:rsidRPr="00214D1A">
              <w:rPr>
                <w:rFonts w:ascii="Arial" w:hAnsi="Arial" w:cs="Arial"/>
                <w:bCs/>
                <w:noProof/>
                <w:sz w:val="18"/>
                <w:szCs w:val="18"/>
              </w:rPr>
              <w:br/>
            </w:r>
            <w:r w:rsidRPr="00C902A5">
              <w:rPr>
                <w:rFonts w:ascii="Arial" w:hAnsi="Arial" w:cs="Arial"/>
                <w:b/>
                <w:noProof/>
                <w:sz w:val="18"/>
                <w:szCs w:val="18"/>
              </w:rPr>
              <w:t>Participating processors will receive</w:t>
            </w:r>
            <w:r w:rsidRPr="00214D1A">
              <w:rPr>
                <w:rFonts w:ascii="Arial" w:hAnsi="Arial" w:cs="Arial"/>
                <w:bCs/>
                <w:noProof/>
                <w:sz w:val="18"/>
                <w:szCs w:val="18"/>
              </w:rPr>
              <w:t>:</w:t>
            </w:r>
          </w:p>
          <w:p w14:paraId="348FC2D6"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Tailored guidance from Hub Mentors and Canvas Coaches to ensure smooth LMS implementation.</w:t>
            </w:r>
          </w:p>
          <w:p w14:paraId="1A434809"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6-month structured implementation program with 18 months of managed service support</w:t>
            </w:r>
            <w:r w:rsidR="00C902A5">
              <w:rPr>
                <w:rFonts w:ascii="Arial" w:hAnsi="Arial" w:cs="Arial"/>
                <w:bCs/>
                <w:noProof/>
                <w:sz w:val="18"/>
                <w:szCs w:val="18"/>
              </w:rPr>
              <w:t>.</w:t>
            </w:r>
          </w:p>
          <w:p w14:paraId="59A06BF0"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Training for internal staff to become confident LMS administrators and System Owners.</w:t>
            </w:r>
          </w:p>
          <w:p w14:paraId="10C858B8"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Access to The Hub’s curated catalogue of industry-specific eLearning content.</w:t>
            </w:r>
          </w:p>
          <w:p w14:paraId="23BE668F"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Contribution to the development of best-practice LMS adoption models for the red meat industry.</w:t>
            </w:r>
          </w:p>
          <w:p w14:paraId="5DFE575E" w14:textId="77777777" w:rsidR="00C902A5" w:rsidRPr="00C902A5" w:rsidRDefault="00141AB2" w:rsidP="00C902A5">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Reduced risk and lower cost of adoption through licensing, IT integration, and managed service support.</w:t>
            </w:r>
            <w:r w:rsidRPr="00214D1A">
              <w:rPr>
                <w:rFonts w:ascii="Arial" w:hAnsi="Arial" w:cs="Arial"/>
                <w:bCs/>
                <w:noProof/>
                <w:sz w:val="18"/>
                <w:szCs w:val="18"/>
              </w:rPr>
              <w:br/>
            </w:r>
          </w:p>
          <w:p w14:paraId="5039DABE" w14:textId="77777777" w:rsidR="00C902A5" w:rsidRDefault="00141AB2" w:rsidP="00C902A5">
            <w:pPr>
              <w:widowControl w:val="0"/>
              <w:spacing w:before="80" w:after="80"/>
              <w:ind w:right="72"/>
              <w:rPr>
                <w:rFonts w:ascii="Arial" w:hAnsi="Arial" w:cs="Arial"/>
                <w:bCs/>
                <w:noProof/>
                <w:sz w:val="18"/>
                <w:szCs w:val="18"/>
              </w:rPr>
            </w:pPr>
            <w:r w:rsidRPr="00214D1A">
              <w:rPr>
                <w:rFonts w:ascii="Arial" w:hAnsi="Arial" w:cs="Arial"/>
                <w:bCs/>
                <w:noProof/>
                <w:sz w:val="18"/>
                <w:szCs w:val="18"/>
              </w:rPr>
              <w:t>This is a unique opportunity to build capability, streamline training, and enhance workforce development.</w:t>
            </w:r>
            <w:r w:rsidRPr="00214D1A">
              <w:rPr>
                <w:rFonts w:ascii="Arial" w:hAnsi="Arial" w:cs="Arial"/>
                <w:bCs/>
                <w:noProof/>
                <w:sz w:val="18"/>
                <w:szCs w:val="18"/>
              </w:rPr>
              <w:br/>
              <w:t>This project is designed for plants that currently do not have an online Learning Management System and wish to acquire one, or are looking to change their existing system.</w:t>
            </w:r>
            <w:r w:rsidRPr="00214D1A">
              <w:rPr>
                <w:rFonts w:ascii="Arial" w:hAnsi="Arial" w:cs="Arial"/>
                <w:bCs/>
                <w:noProof/>
                <w:sz w:val="18"/>
                <w:szCs w:val="18"/>
              </w:rPr>
              <w:br/>
            </w:r>
            <w:r w:rsidRPr="00214D1A">
              <w:rPr>
                <w:rFonts w:ascii="Arial" w:hAnsi="Arial" w:cs="Arial"/>
                <w:bCs/>
                <w:noProof/>
                <w:sz w:val="18"/>
                <w:szCs w:val="18"/>
              </w:rPr>
              <w:br/>
              <w:t>This project will support up to five Meat Processing plants for two years to adopt the ‘AMPC Hub’ and its associated LMS. The Hub contains the Learning Catalogue (eLearns, VR experiences, videos etc) and the LMS is where the eLearning courses, etc are housed and assigned to your employees.</w:t>
            </w:r>
            <w:r w:rsidRPr="00214D1A">
              <w:rPr>
                <w:rFonts w:ascii="Arial" w:hAnsi="Arial" w:cs="Arial"/>
                <w:bCs/>
                <w:noProof/>
                <w:sz w:val="18"/>
                <w:szCs w:val="18"/>
              </w:rPr>
              <w:br/>
            </w:r>
            <w:r w:rsidRPr="00214D1A">
              <w:rPr>
                <w:rFonts w:ascii="Arial" w:hAnsi="Arial" w:cs="Arial"/>
                <w:bCs/>
                <w:noProof/>
                <w:sz w:val="18"/>
                <w:szCs w:val="18"/>
              </w:rPr>
              <w:br/>
            </w:r>
            <w:r w:rsidRPr="00C902A5">
              <w:rPr>
                <w:rFonts w:ascii="Arial" w:hAnsi="Arial" w:cs="Arial"/>
                <w:b/>
                <w:noProof/>
                <w:sz w:val="18"/>
                <w:szCs w:val="18"/>
              </w:rPr>
              <w:t>The main objective of the project is to</w:t>
            </w:r>
            <w:r w:rsidRPr="00214D1A">
              <w:rPr>
                <w:rFonts w:ascii="Arial" w:hAnsi="Arial" w:cs="Arial"/>
                <w:bCs/>
                <w:noProof/>
                <w:sz w:val="18"/>
                <w:szCs w:val="18"/>
              </w:rPr>
              <w:t>:</w:t>
            </w:r>
          </w:p>
          <w:p w14:paraId="0B5801AC" w14:textId="77777777" w:rsidR="00C902A5" w:rsidRPr="00C902A5" w:rsidRDefault="00C902A5" w:rsidP="00C902A5">
            <w:pPr>
              <w:widowControl w:val="0"/>
              <w:numPr>
                <w:ilvl w:val="0"/>
                <w:numId w:val="21"/>
              </w:numPr>
              <w:spacing w:before="80" w:after="80"/>
              <w:ind w:right="72"/>
              <w:rPr>
                <w:rFonts w:ascii="Arial" w:hAnsi="Arial" w:cs="Arial"/>
                <w:b/>
                <w:sz w:val="18"/>
                <w:szCs w:val="18"/>
              </w:rPr>
            </w:pPr>
            <w:r>
              <w:rPr>
                <w:rFonts w:ascii="Arial" w:hAnsi="Arial" w:cs="Arial"/>
                <w:bCs/>
                <w:noProof/>
                <w:sz w:val="18"/>
                <w:szCs w:val="18"/>
              </w:rPr>
              <w:t>P</w:t>
            </w:r>
            <w:r w:rsidR="00141AB2" w:rsidRPr="00214D1A">
              <w:rPr>
                <w:rFonts w:ascii="Arial" w:hAnsi="Arial" w:cs="Arial"/>
                <w:bCs/>
                <w:noProof/>
                <w:sz w:val="18"/>
                <w:szCs w:val="18"/>
              </w:rPr>
              <w:t>rovide a 2-year support experience of work per plant and site that wish to use the Adoption support. During each project, the objectives will be:</w:t>
            </w:r>
          </w:p>
          <w:p w14:paraId="23F8F605" w14:textId="77777777" w:rsidR="00C902A5" w:rsidRPr="00C902A5" w:rsidRDefault="00141AB2" w:rsidP="00C902A5">
            <w:pPr>
              <w:widowControl w:val="0"/>
              <w:numPr>
                <w:ilvl w:val="1"/>
                <w:numId w:val="21"/>
              </w:numPr>
              <w:spacing w:before="80" w:after="80"/>
              <w:ind w:right="72"/>
              <w:rPr>
                <w:rFonts w:ascii="Arial" w:hAnsi="Arial" w:cs="Arial"/>
                <w:b/>
                <w:sz w:val="18"/>
                <w:szCs w:val="18"/>
              </w:rPr>
            </w:pPr>
            <w:r w:rsidRPr="00214D1A">
              <w:rPr>
                <w:rFonts w:ascii="Arial" w:hAnsi="Arial" w:cs="Arial"/>
                <w:bCs/>
                <w:noProof/>
                <w:sz w:val="18"/>
                <w:szCs w:val="18"/>
              </w:rPr>
              <w:t>Ensure the technical component of the system is fully functional for the plant – i.e. they can log in to the system, log in to their area in the Hub, browse catalogue for assets, select, download and implement these assets in their LMS instance.</w:t>
            </w:r>
          </w:p>
          <w:p w14:paraId="5BC2E468" w14:textId="77777777" w:rsidR="00C902A5" w:rsidRPr="00C902A5" w:rsidRDefault="00141AB2" w:rsidP="00C902A5">
            <w:pPr>
              <w:widowControl w:val="0"/>
              <w:numPr>
                <w:ilvl w:val="1"/>
                <w:numId w:val="21"/>
              </w:numPr>
              <w:spacing w:before="80" w:after="80"/>
              <w:ind w:right="72"/>
              <w:rPr>
                <w:rFonts w:ascii="Arial" w:hAnsi="Arial" w:cs="Arial"/>
                <w:b/>
                <w:sz w:val="18"/>
                <w:szCs w:val="18"/>
              </w:rPr>
            </w:pPr>
            <w:r w:rsidRPr="00214D1A">
              <w:rPr>
                <w:rFonts w:ascii="Arial" w:hAnsi="Arial" w:cs="Arial"/>
                <w:bCs/>
                <w:noProof/>
                <w:sz w:val="18"/>
                <w:szCs w:val="18"/>
              </w:rPr>
              <w:t>Ensure that one or more System Owners in the plant are appointed and trained to a level where they are capable of administering and managing the system for their business.</w:t>
            </w:r>
          </w:p>
          <w:p w14:paraId="0DAD40D8" w14:textId="77777777" w:rsidR="00C902A5" w:rsidRPr="00C902A5" w:rsidRDefault="00141AB2" w:rsidP="00C902A5">
            <w:pPr>
              <w:widowControl w:val="0"/>
              <w:numPr>
                <w:ilvl w:val="1"/>
                <w:numId w:val="21"/>
              </w:numPr>
              <w:spacing w:before="80" w:after="80"/>
              <w:ind w:right="72"/>
              <w:rPr>
                <w:rFonts w:ascii="Arial" w:hAnsi="Arial" w:cs="Arial"/>
                <w:b/>
                <w:sz w:val="18"/>
                <w:szCs w:val="18"/>
              </w:rPr>
            </w:pPr>
            <w:r w:rsidRPr="00214D1A">
              <w:rPr>
                <w:rFonts w:ascii="Arial" w:hAnsi="Arial" w:cs="Arial"/>
                <w:bCs/>
                <w:noProof/>
                <w:sz w:val="18"/>
                <w:szCs w:val="18"/>
              </w:rPr>
              <w:t>Provide guidance to each plant with respect to the business processes that may need to be implemented when deploying an LMS within their business for use by employees and possibly contractors.</w:t>
            </w:r>
          </w:p>
          <w:p w14:paraId="00B0944C" w14:textId="77777777" w:rsidR="00C902A5" w:rsidRPr="00C902A5" w:rsidRDefault="00141AB2" w:rsidP="00C902A5">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Establish relationships between facilities that adopt the LMS Managed Service (PaaS) and the MSP team to enable ongoing support within the 2-year period.</w:t>
            </w:r>
          </w:p>
          <w:p w14:paraId="20B612E8" w14:textId="77777777" w:rsidR="00C902A5" w:rsidRPr="00C902A5" w:rsidRDefault="00141AB2" w:rsidP="00C902A5">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Develop an implementation best-practice that can be used by other plants during and post this project.</w:t>
            </w:r>
          </w:p>
          <w:p w14:paraId="4FE0B3D2" w14:textId="77777777" w:rsidR="00C902A5" w:rsidRPr="00C902A5" w:rsidRDefault="00141AB2" w:rsidP="00C902A5">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Provide feedback to AMPC on adoption by participating plants in order to inform potential system enhancements or business process changes that need to occur as part of continuous improvement.</w:t>
            </w:r>
            <w:r w:rsidRPr="00214D1A">
              <w:rPr>
                <w:rFonts w:ascii="Arial" w:hAnsi="Arial" w:cs="Arial"/>
                <w:bCs/>
                <w:noProof/>
                <w:sz w:val="18"/>
                <w:szCs w:val="18"/>
              </w:rPr>
              <w:br/>
            </w:r>
          </w:p>
          <w:p w14:paraId="4E4BBA3D" w14:textId="77777777" w:rsidR="00C902A5" w:rsidRDefault="00141AB2" w:rsidP="00C902A5">
            <w:pPr>
              <w:widowControl w:val="0"/>
              <w:spacing w:before="80" w:after="80"/>
              <w:ind w:right="72"/>
              <w:rPr>
                <w:rFonts w:ascii="Arial" w:hAnsi="Arial" w:cs="Arial"/>
                <w:bCs/>
                <w:noProof/>
                <w:sz w:val="18"/>
                <w:szCs w:val="18"/>
              </w:rPr>
            </w:pPr>
            <w:r w:rsidRPr="00214D1A">
              <w:rPr>
                <w:rFonts w:ascii="Arial" w:hAnsi="Arial" w:cs="Arial"/>
                <w:bCs/>
                <w:noProof/>
                <w:sz w:val="18"/>
                <w:szCs w:val="18"/>
              </w:rPr>
              <w:t>A more detailed overview can be provided on request.</w:t>
            </w:r>
            <w:r w:rsidRPr="00214D1A">
              <w:rPr>
                <w:rFonts w:ascii="Arial" w:hAnsi="Arial" w:cs="Arial"/>
                <w:bCs/>
                <w:noProof/>
                <w:sz w:val="18"/>
                <w:szCs w:val="18"/>
              </w:rPr>
              <w:br/>
            </w:r>
            <w:r w:rsidRPr="00214D1A">
              <w:rPr>
                <w:rFonts w:ascii="Arial" w:hAnsi="Arial" w:cs="Arial"/>
                <w:bCs/>
                <w:noProof/>
                <w:sz w:val="18"/>
                <w:szCs w:val="18"/>
              </w:rPr>
              <w:br/>
            </w:r>
            <w:r w:rsidRPr="00C902A5">
              <w:rPr>
                <w:rFonts w:ascii="Arial" w:hAnsi="Arial" w:cs="Arial"/>
                <w:b/>
                <w:noProof/>
                <w:sz w:val="18"/>
                <w:szCs w:val="18"/>
              </w:rPr>
              <w:t>Definitions of support</w:t>
            </w:r>
            <w:r w:rsidRPr="00214D1A">
              <w:rPr>
                <w:rFonts w:ascii="Arial" w:hAnsi="Arial" w:cs="Arial"/>
                <w:bCs/>
                <w:noProof/>
                <w:sz w:val="18"/>
                <w:szCs w:val="18"/>
              </w:rPr>
              <w:br/>
              <w:t>Support during the Adoption Phase</w:t>
            </w:r>
          </w:p>
          <w:p w14:paraId="4FD546B8" w14:textId="77777777" w:rsidR="00C902A5" w:rsidRPr="00C902A5" w:rsidRDefault="00141AB2" w:rsidP="00C902A5">
            <w:pPr>
              <w:widowControl w:val="0"/>
              <w:numPr>
                <w:ilvl w:val="0"/>
                <w:numId w:val="22"/>
              </w:numPr>
              <w:spacing w:before="80" w:after="80"/>
              <w:ind w:right="72"/>
              <w:rPr>
                <w:rFonts w:ascii="Arial" w:hAnsi="Arial" w:cs="Arial"/>
                <w:b/>
                <w:sz w:val="18"/>
                <w:szCs w:val="18"/>
              </w:rPr>
            </w:pPr>
            <w:r w:rsidRPr="00214D1A">
              <w:rPr>
                <w:rFonts w:ascii="Arial" w:hAnsi="Arial" w:cs="Arial"/>
                <w:bCs/>
                <w:noProof/>
                <w:sz w:val="18"/>
                <w:szCs w:val="18"/>
              </w:rPr>
              <w:t xml:space="preserve">Hub Mentor: The Hub Mentor is highly knowledgeable and experienced in providing training and compliance in the meat industry. Hub Mentors will provide support to participants regarding how The Hub and its course catalogue works, and help maintain their engagement with the program overall. They will provide personalised guidance in 1:1 online sessions on how participants can curate and deliver their courses using The Hub and the Canvas LMS, and recommend changes to business processes that can help them engage their workers in online training. The Hub </w:t>
            </w:r>
            <w:r w:rsidRPr="00214D1A">
              <w:rPr>
                <w:rFonts w:ascii="Arial" w:hAnsi="Arial" w:cs="Arial"/>
                <w:bCs/>
                <w:noProof/>
                <w:sz w:val="18"/>
                <w:szCs w:val="18"/>
              </w:rPr>
              <w:lastRenderedPageBreak/>
              <w:t>Mentor is available to participants during their 6-month Adoption Program.</w:t>
            </w:r>
          </w:p>
          <w:p w14:paraId="34EF6E44" w14:textId="77777777" w:rsidR="00C902A5" w:rsidRDefault="00141AB2" w:rsidP="00C902A5">
            <w:pPr>
              <w:widowControl w:val="0"/>
              <w:numPr>
                <w:ilvl w:val="0"/>
                <w:numId w:val="22"/>
              </w:numPr>
              <w:spacing w:before="80" w:after="80"/>
              <w:ind w:right="72"/>
              <w:rPr>
                <w:rFonts w:ascii="Arial" w:hAnsi="Arial" w:cs="Arial"/>
                <w:b/>
                <w:sz w:val="18"/>
                <w:szCs w:val="18"/>
              </w:rPr>
            </w:pPr>
            <w:r w:rsidRPr="00214D1A">
              <w:rPr>
                <w:rFonts w:ascii="Arial" w:hAnsi="Arial" w:cs="Arial"/>
                <w:bCs/>
                <w:noProof/>
                <w:sz w:val="18"/>
                <w:szCs w:val="18"/>
              </w:rPr>
              <w:t>Canvas Coach: The Canvas Coaches are highly knowledgeable and experienced in Canvas LMS. Canvas Coaches will facilitate the implementation of the Canvas LMS during the 6-month Adoption Program. They also provide the Managed Service to participants, providing administrative and technical support as required. Hub Mentors and Canvas Coaches both develop a deep understanding of their facilities.</w:t>
            </w:r>
          </w:p>
          <w:p w14:paraId="2AFFB85A" w14:textId="401D0902" w:rsidR="0044733C" w:rsidRPr="00C902A5" w:rsidRDefault="00C902A5" w:rsidP="00C902A5">
            <w:pPr>
              <w:widowControl w:val="0"/>
              <w:numPr>
                <w:ilvl w:val="0"/>
                <w:numId w:val="22"/>
              </w:numPr>
              <w:spacing w:before="80" w:after="80"/>
              <w:ind w:right="72"/>
              <w:rPr>
                <w:rFonts w:ascii="Arial" w:hAnsi="Arial" w:cs="Arial"/>
                <w:b/>
                <w:sz w:val="18"/>
                <w:szCs w:val="18"/>
              </w:rPr>
            </w:pPr>
            <w:r w:rsidRPr="00C902A5">
              <w:rPr>
                <w:rFonts w:ascii="Arial" w:hAnsi="Arial" w:cs="Arial"/>
                <w:b/>
                <w:noProof/>
                <w:sz w:val="18"/>
                <w:szCs w:val="18"/>
              </w:rPr>
              <w:t>Processing facilities will be required to contribute 50% of the total project cost.</w:t>
            </w:r>
          </w:p>
        </w:tc>
      </w:tr>
    </w:tbl>
    <w:p w14:paraId="2DD78054"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4F55BFA1"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3F62E0C5"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0FE2DB35" w14:textId="77777777" w:rsidTr="00EB544B">
        <w:tc>
          <w:tcPr>
            <w:tcW w:w="10491" w:type="dxa"/>
            <w:tcBorders>
              <w:top w:val="single" w:sz="4" w:space="0" w:color="auto"/>
              <w:left w:val="single" w:sz="4" w:space="0" w:color="auto"/>
              <w:bottom w:val="single" w:sz="4" w:space="0" w:color="auto"/>
              <w:right w:val="single" w:sz="4" w:space="0" w:color="auto"/>
            </w:tcBorders>
            <w:shd w:val="clear" w:color="auto" w:fill="auto"/>
          </w:tcPr>
          <w:p w14:paraId="27A56A11" w14:textId="74FDA404"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 xml:space="preserve"> </w:t>
            </w:r>
            <w:r w:rsidR="00FC2DB0">
              <w:rPr>
                <w:rFonts w:ascii="Arial" w:hAnsi="Arial" w:cs="Arial"/>
                <w:bCs/>
                <w:noProof/>
                <w:sz w:val="18"/>
                <w:szCs w:val="18"/>
              </w:rPr>
              <w:t>Adoption</w:t>
            </w:r>
          </w:p>
        </w:tc>
      </w:tr>
    </w:tbl>
    <w:p w14:paraId="0D00293E"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22315102"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5A3AF0B6"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0F38FFB6"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7086DCE5" w14:textId="77777777" w:rsidR="00FC2DB0" w:rsidRDefault="00141AB2" w:rsidP="0044733C">
            <w:pPr>
              <w:widowControl w:val="0"/>
              <w:spacing w:before="80" w:after="80"/>
              <w:ind w:right="72"/>
              <w:rPr>
                <w:rFonts w:ascii="Arial" w:hAnsi="Arial" w:cs="Arial"/>
                <w:bCs/>
                <w:noProof/>
                <w:sz w:val="18"/>
                <w:szCs w:val="18"/>
              </w:rPr>
            </w:pPr>
            <w:r w:rsidRPr="00FC2DB0">
              <w:rPr>
                <w:rFonts w:ascii="Arial" w:hAnsi="Arial" w:cs="Arial"/>
                <w:b/>
                <w:noProof/>
                <w:sz w:val="18"/>
                <w:szCs w:val="18"/>
              </w:rPr>
              <w:t>Scope of Work (deliverables)</w:t>
            </w:r>
          </w:p>
          <w:p w14:paraId="6ED098FC"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Project Management Plan (PMP).</w:t>
            </w:r>
          </w:p>
          <w:p w14:paraId="2B68C683"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The design of the 6-month Adoption Program for The Hub and its LMS.</w:t>
            </w:r>
          </w:p>
          <w:p w14:paraId="2FD9C72D"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Delivering of the 24-month support experience to up to 5 facilities. Facilities participating in this project will be chosen based on a pre-selection process. * Once the program has been tested and refinements made, broader adoption can go out to industry. This includes:</w:t>
            </w:r>
          </w:p>
          <w:p w14:paraId="2448F050" w14:textId="77777777" w:rsidR="00FC2DB0" w:rsidRPr="00FC2DB0" w:rsidRDefault="00141AB2" w:rsidP="00FC2DB0">
            <w:pPr>
              <w:pStyle w:val="ListParagraph"/>
              <w:numPr>
                <w:ilvl w:val="1"/>
                <w:numId w:val="23"/>
              </w:numPr>
              <w:spacing w:before="80" w:after="80"/>
              <w:ind w:right="72"/>
              <w:rPr>
                <w:rFonts w:ascii="Arial" w:hAnsi="Arial" w:cs="Arial"/>
                <w:b/>
                <w:sz w:val="18"/>
                <w:szCs w:val="18"/>
              </w:rPr>
            </w:pPr>
            <w:r w:rsidRPr="00FC2DB0">
              <w:rPr>
                <w:rFonts w:ascii="Arial" w:hAnsi="Arial" w:cs="Arial"/>
                <w:bCs/>
                <w:noProof/>
                <w:sz w:val="18"/>
                <w:szCs w:val="18"/>
              </w:rPr>
              <w:t>Delivery of 6-month Adoption Program/ facility.</w:t>
            </w:r>
          </w:p>
          <w:p w14:paraId="25A905E0" w14:textId="77777777" w:rsidR="00FC2DB0" w:rsidRPr="00FC2DB0" w:rsidRDefault="00141AB2" w:rsidP="00FC2DB0">
            <w:pPr>
              <w:pStyle w:val="ListParagraph"/>
              <w:numPr>
                <w:ilvl w:val="1"/>
                <w:numId w:val="23"/>
              </w:numPr>
              <w:spacing w:before="80" w:after="80"/>
              <w:ind w:right="72"/>
              <w:rPr>
                <w:rFonts w:ascii="Arial" w:hAnsi="Arial" w:cs="Arial"/>
                <w:b/>
                <w:sz w:val="18"/>
                <w:szCs w:val="18"/>
              </w:rPr>
            </w:pPr>
            <w:r w:rsidRPr="00FC2DB0">
              <w:rPr>
                <w:rFonts w:ascii="Arial" w:hAnsi="Arial" w:cs="Arial"/>
                <w:bCs/>
                <w:noProof/>
                <w:sz w:val="18"/>
                <w:szCs w:val="18"/>
              </w:rPr>
              <w:t>Delivery of 18 months of Managed Service Support/ facility following the Adoption Program.</w:t>
            </w:r>
          </w:p>
          <w:p w14:paraId="5D6DA0BB" w14:textId="77777777" w:rsidR="00FC2DB0" w:rsidRPr="00FC2DB0" w:rsidRDefault="00141AB2" w:rsidP="00FC2DB0">
            <w:pPr>
              <w:pStyle w:val="ListParagraph"/>
              <w:numPr>
                <w:ilvl w:val="1"/>
                <w:numId w:val="23"/>
              </w:numPr>
              <w:spacing w:before="80" w:after="80"/>
              <w:ind w:right="72"/>
              <w:rPr>
                <w:rFonts w:ascii="Arial" w:hAnsi="Arial" w:cs="Arial"/>
                <w:b/>
                <w:sz w:val="18"/>
                <w:szCs w:val="18"/>
              </w:rPr>
            </w:pPr>
            <w:r w:rsidRPr="00FC2DB0">
              <w:rPr>
                <w:rFonts w:ascii="Arial" w:hAnsi="Arial" w:cs="Arial"/>
                <w:bCs/>
                <w:noProof/>
                <w:sz w:val="18"/>
                <w:szCs w:val="18"/>
              </w:rPr>
              <w:t>Delivery of licensing for 100 seats/ year/ facility (or a custom number of seats on request).</w:t>
            </w:r>
          </w:p>
          <w:p w14:paraId="179C0FC8" w14:textId="77777777" w:rsidR="00FC2DB0" w:rsidRPr="00FC2DB0" w:rsidRDefault="00FC2DB0" w:rsidP="00FC2DB0">
            <w:pPr>
              <w:pStyle w:val="ListParagraph"/>
              <w:numPr>
                <w:ilvl w:val="0"/>
                <w:numId w:val="23"/>
              </w:numPr>
              <w:spacing w:before="80" w:after="80"/>
              <w:ind w:right="72"/>
              <w:rPr>
                <w:rFonts w:ascii="Arial" w:hAnsi="Arial" w:cs="Arial"/>
                <w:b/>
                <w:sz w:val="18"/>
                <w:szCs w:val="18"/>
              </w:rPr>
            </w:pPr>
            <w:r>
              <w:rPr>
                <w:rFonts w:ascii="Arial" w:hAnsi="Arial" w:cs="Arial"/>
                <w:bCs/>
                <w:noProof/>
                <w:sz w:val="18"/>
                <w:szCs w:val="18"/>
              </w:rPr>
              <w:t xml:space="preserve">The </w:t>
            </w:r>
            <w:r w:rsidR="00141AB2" w:rsidRPr="00FC2DB0">
              <w:rPr>
                <w:rFonts w:ascii="Arial" w:hAnsi="Arial" w:cs="Arial"/>
                <w:bCs/>
                <w:noProof/>
                <w:sz w:val="18"/>
                <w:szCs w:val="18"/>
              </w:rPr>
              <w:t>option for 2-days on-site delivery of the Adoption Program Launch. </w:t>
            </w:r>
          </w:p>
          <w:p w14:paraId="0FC32675"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Implementation of The Hub’s LMS through personalised support so that participating plants can make use of the Managed Service. This includes support from: </w:t>
            </w:r>
          </w:p>
          <w:p w14:paraId="531D8580" w14:textId="77777777" w:rsidR="00FC2DB0" w:rsidRPr="00FC2DB0" w:rsidRDefault="00141AB2" w:rsidP="00FC2DB0">
            <w:pPr>
              <w:pStyle w:val="ListParagraph"/>
              <w:numPr>
                <w:ilvl w:val="1"/>
                <w:numId w:val="23"/>
              </w:numPr>
              <w:spacing w:before="80" w:after="80"/>
              <w:ind w:right="72"/>
              <w:rPr>
                <w:rFonts w:ascii="Arial" w:hAnsi="Arial" w:cs="Arial"/>
                <w:b/>
                <w:sz w:val="18"/>
                <w:szCs w:val="18"/>
              </w:rPr>
            </w:pPr>
            <w:r w:rsidRPr="00FC2DB0">
              <w:rPr>
                <w:rFonts w:ascii="Arial" w:hAnsi="Arial" w:cs="Arial"/>
                <w:bCs/>
                <w:noProof/>
                <w:sz w:val="18"/>
                <w:szCs w:val="18"/>
              </w:rPr>
              <w:t>Canvas Coaches, who are experts in this software, to train participants on how to set up Canvas as their system administrator.</w:t>
            </w:r>
          </w:p>
          <w:p w14:paraId="603873FF" w14:textId="77777777" w:rsidR="00FC2DB0" w:rsidRPr="00FC2DB0" w:rsidRDefault="00141AB2" w:rsidP="00FC2DB0">
            <w:pPr>
              <w:pStyle w:val="ListParagraph"/>
              <w:numPr>
                <w:ilvl w:val="1"/>
                <w:numId w:val="23"/>
              </w:numPr>
              <w:spacing w:before="80" w:after="80"/>
              <w:ind w:right="72"/>
              <w:rPr>
                <w:rFonts w:ascii="Arial" w:hAnsi="Arial" w:cs="Arial"/>
                <w:b/>
                <w:sz w:val="18"/>
                <w:szCs w:val="18"/>
              </w:rPr>
            </w:pPr>
            <w:r w:rsidRPr="00FC2DB0">
              <w:rPr>
                <w:rFonts w:ascii="Arial" w:hAnsi="Arial" w:cs="Arial"/>
                <w:bCs/>
                <w:noProof/>
                <w:sz w:val="18"/>
                <w:szCs w:val="18"/>
              </w:rPr>
              <w:t>Dedicated Hub Mentors to support participants in how The Hub and Canvas LMS work together from a course creator and learner perspective.</w:t>
            </w:r>
          </w:p>
          <w:p w14:paraId="6FCA43BF"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IT integration support to configure The Canvas LMS as part of a normal instance stand up. If extra technical integrations are required, this can be scoped up in the initial planning stage and costed in or excluded as out of scope of Adoption project budget and paid separately.</w:t>
            </w:r>
          </w:p>
          <w:p w14:paraId="1CAF512C" w14:textId="77777777" w:rsidR="00FC2DB0" w:rsidRPr="00FC2DB0" w:rsidRDefault="00141AB2" w:rsidP="00FC2DB0">
            <w:pPr>
              <w:pStyle w:val="ListParagraph"/>
              <w:numPr>
                <w:ilvl w:val="0"/>
                <w:numId w:val="23"/>
              </w:numPr>
              <w:spacing w:before="80" w:after="80"/>
              <w:ind w:right="72"/>
              <w:rPr>
                <w:rFonts w:ascii="Arial" w:hAnsi="Arial" w:cs="Arial"/>
                <w:b/>
                <w:sz w:val="18"/>
                <w:szCs w:val="18"/>
              </w:rPr>
            </w:pPr>
            <w:r w:rsidRPr="00FC2DB0">
              <w:rPr>
                <w:rFonts w:ascii="Arial" w:hAnsi="Arial" w:cs="Arial"/>
                <w:bCs/>
                <w:noProof/>
                <w:sz w:val="18"/>
                <w:szCs w:val="18"/>
              </w:rPr>
              <w:t>A final report for the program to key stakeholders to share learnings and recommendations for upcoming cohorts at the end of each 6-month adoption program period.</w:t>
            </w:r>
            <w:r w:rsidRPr="00FC2DB0">
              <w:rPr>
                <w:rFonts w:ascii="Arial" w:hAnsi="Arial" w:cs="Arial"/>
                <w:bCs/>
                <w:noProof/>
                <w:sz w:val="18"/>
                <w:szCs w:val="18"/>
              </w:rPr>
              <w:br/>
            </w:r>
          </w:p>
          <w:p w14:paraId="63DB2248" w14:textId="77777777" w:rsidR="00FC2DB0" w:rsidRDefault="00141AB2" w:rsidP="00FC2DB0">
            <w:pPr>
              <w:spacing w:before="80" w:after="80"/>
              <w:ind w:right="72"/>
              <w:rPr>
                <w:rFonts w:ascii="Arial" w:hAnsi="Arial" w:cs="Arial"/>
                <w:bCs/>
                <w:noProof/>
                <w:sz w:val="18"/>
                <w:szCs w:val="18"/>
              </w:rPr>
            </w:pPr>
            <w:r w:rsidRPr="00FC2DB0">
              <w:rPr>
                <w:rFonts w:ascii="Arial" w:hAnsi="Arial" w:cs="Arial"/>
                <w:b/>
                <w:noProof/>
                <w:sz w:val="18"/>
                <w:szCs w:val="18"/>
              </w:rPr>
              <w:t>Out of scope</w:t>
            </w:r>
          </w:p>
          <w:p w14:paraId="200A4F27" w14:textId="77777777" w:rsidR="00FC2DB0" w:rsidRPr="00FC2DB0"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Providing the project directly to workers who are managed by Training, HR or QA Managers participating in this project.</w:t>
            </w:r>
          </w:p>
          <w:p w14:paraId="43291F64" w14:textId="77777777" w:rsidR="007A2424" w:rsidRPr="007A2424"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Developing and delivering the marketing and sales requirements needed to promote the project.</w:t>
            </w:r>
          </w:p>
          <w:p w14:paraId="42B3DE74" w14:textId="77777777" w:rsidR="007A2424" w:rsidRPr="007A2424"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Training participants, who lack experience or knowledge in online learning, to develop these skills. </w:t>
            </w:r>
          </w:p>
          <w:p w14:paraId="1980D653" w14:textId="77777777" w:rsidR="007A2424" w:rsidRPr="007A2424"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Developing and deploying new features in The Hub or the LMS. Any feedback or requests will be captured to be explored separately to this project.</w:t>
            </w:r>
          </w:p>
          <w:p w14:paraId="38C9388A" w14:textId="77777777" w:rsidR="007A2424" w:rsidRPr="007A2424"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Creating new online learning courses or material requiring instructional or learning designers. </w:t>
            </w:r>
          </w:p>
          <w:p w14:paraId="45C3B88D" w14:textId="77777777" w:rsidR="007A2424" w:rsidRPr="007A2424" w:rsidRDefault="00141AB2" w:rsidP="00FC2DB0">
            <w:pPr>
              <w:pStyle w:val="ListParagraph"/>
              <w:numPr>
                <w:ilvl w:val="0"/>
                <w:numId w:val="24"/>
              </w:numPr>
              <w:spacing w:before="80" w:after="80"/>
              <w:ind w:right="72"/>
              <w:rPr>
                <w:rFonts w:ascii="Arial" w:hAnsi="Arial" w:cs="Arial"/>
                <w:b/>
                <w:sz w:val="18"/>
                <w:szCs w:val="18"/>
              </w:rPr>
            </w:pPr>
            <w:r w:rsidRPr="00FC2DB0">
              <w:rPr>
                <w:rFonts w:ascii="Arial" w:hAnsi="Arial" w:cs="Arial"/>
                <w:bCs/>
                <w:noProof/>
                <w:sz w:val="18"/>
                <w:szCs w:val="18"/>
              </w:rPr>
              <w:t>Anything else not listed in the Scope of Work above.</w:t>
            </w:r>
            <w:r w:rsidRPr="00FC2DB0">
              <w:rPr>
                <w:rFonts w:ascii="Arial" w:hAnsi="Arial" w:cs="Arial"/>
                <w:bCs/>
                <w:noProof/>
                <w:sz w:val="18"/>
                <w:szCs w:val="18"/>
              </w:rPr>
              <w:br/>
            </w:r>
          </w:p>
          <w:p w14:paraId="69CEDB13" w14:textId="77777777" w:rsidR="007A2424" w:rsidRDefault="00141AB2" w:rsidP="007A2424">
            <w:pPr>
              <w:spacing w:before="80" w:after="80"/>
              <w:ind w:right="72"/>
              <w:rPr>
                <w:rFonts w:ascii="Arial" w:hAnsi="Arial" w:cs="Arial"/>
                <w:bCs/>
                <w:noProof/>
                <w:sz w:val="18"/>
                <w:szCs w:val="18"/>
              </w:rPr>
            </w:pPr>
            <w:r w:rsidRPr="007A2424">
              <w:rPr>
                <w:rFonts w:ascii="Arial" w:hAnsi="Arial" w:cs="Arial"/>
                <w:b/>
                <w:noProof/>
                <w:sz w:val="18"/>
                <w:szCs w:val="18"/>
              </w:rPr>
              <w:t>Assumptions</w:t>
            </w:r>
          </w:p>
          <w:p w14:paraId="6FE49F13" w14:textId="77777777" w:rsidR="007A2424" w:rsidRPr="007A2424" w:rsidRDefault="00141AB2" w:rsidP="007A2424">
            <w:pPr>
              <w:pStyle w:val="ListParagraph"/>
              <w:numPr>
                <w:ilvl w:val="0"/>
                <w:numId w:val="25"/>
              </w:numPr>
              <w:spacing w:before="80" w:after="80"/>
              <w:ind w:right="72"/>
              <w:rPr>
                <w:rFonts w:ascii="Arial" w:hAnsi="Arial" w:cs="Arial"/>
                <w:b/>
                <w:sz w:val="18"/>
                <w:szCs w:val="18"/>
              </w:rPr>
            </w:pPr>
            <w:r w:rsidRPr="007A2424">
              <w:rPr>
                <w:rFonts w:ascii="Arial" w:hAnsi="Arial" w:cs="Arial"/>
                <w:bCs/>
                <w:noProof/>
                <w:sz w:val="18"/>
                <w:szCs w:val="18"/>
              </w:rPr>
              <w:t>The Hub and the LMS will be in working order for the duration of the program.</w:t>
            </w:r>
          </w:p>
          <w:p w14:paraId="58F59E42" w14:textId="77777777" w:rsidR="007A2424" w:rsidRPr="007A2424" w:rsidRDefault="00141AB2" w:rsidP="007A2424">
            <w:pPr>
              <w:pStyle w:val="ListParagraph"/>
              <w:numPr>
                <w:ilvl w:val="0"/>
                <w:numId w:val="25"/>
              </w:numPr>
              <w:spacing w:before="80" w:after="80"/>
              <w:ind w:right="72"/>
              <w:rPr>
                <w:rFonts w:ascii="Arial" w:hAnsi="Arial" w:cs="Arial"/>
                <w:b/>
                <w:sz w:val="18"/>
                <w:szCs w:val="18"/>
              </w:rPr>
            </w:pPr>
            <w:r w:rsidRPr="007A2424">
              <w:rPr>
                <w:rFonts w:ascii="Arial" w:hAnsi="Arial" w:cs="Arial"/>
                <w:bCs/>
                <w:noProof/>
                <w:sz w:val="18"/>
                <w:szCs w:val="18"/>
              </w:rPr>
              <w:t>Participating facilities have pre-existing capabilities to undertake online learning as confirmed in the pre-selection process (for example, internet connections, training/ meeting rooms available, and so on). </w:t>
            </w:r>
          </w:p>
          <w:p w14:paraId="2050F0D5" w14:textId="0EDE9B44" w:rsidR="007A2424" w:rsidRPr="007A2424" w:rsidRDefault="00141AB2" w:rsidP="007A2424">
            <w:pPr>
              <w:pStyle w:val="ListParagraph"/>
              <w:numPr>
                <w:ilvl w:val="0"/>
                <w:numId w:val="25"/>
              </w:numPr>
              <w:spacing w:before="80" w:after="80"/>
              <w:ind w:right="72"/>
              <w:rPr>
                <w:rFonts w:ascii="Arial" w:hAnsi="Arial" w:cs="Arial"/>
                <w:b/>
                <w:sz w:val="18"/>
                <w:szCs w:val="18"/>
              </w:rPr>
            </w:pPr>
            <w:r w:rsidRPr="007A2424">
              <w:rPr>
                <w:rFonts w:ascii="Arial" w:hAnsi="Arial" w:cs="Arial"/>
                <w:bCs/>
                <w:noProof/>
                <w:sz w:val="18"/>
                <w:szCs w:val="18"/>
              </w:rPr>
              <w:t>Participating facilities will be able to nominate participants in their organisation to take part</w:t>
            </w:r>
            <w:r w:rsidR="007A2424">
              <w:rPr>
                <w:rFonts w:ascii="Arial" w:hAnsi="Arial" w:cs="Arial"/>
                <w:bCs/>
                <w:noProof/>
                <w:sz w:val="18"/>
                <w:szCs w:val="18"/>
              </w:rPr>
              <w:t>.</w:t>
            </w:r>
            <w:r w:rsidRPr="007A2424">
              <w:rPr>
                <w:rFonts w:ascii="Arial" w:hAnsi="Arial" w:cs="Arial"/>
                <w:bCs/>
                <w:noProof/>
                <w:sz w:val="18"/>
                <w:szCs w:val="18"/>
              </w:rPr>
              <w:br/>
            </w:r>
          </w:p>
          <w:p w14:paraId="0149201B" w14:textId="77777777" w:rsidR="007A2424" w:rsidRDefault="00141AB2" w:rsidP="007A2424">
            <w:pPr>
              <w:spacing w:before="80" w:after="80"/>
              <w:ind w:right="72"/>
              <w:rPr>
                <w:rFonts w:ascii="Arial" w:hAnsi="Arial" w:cs="Arial"/>
                <w:bCs/>
                <w:noProof/>
                <w:sz w:val="18"/>
                <w:szCs w:val="18"/>
              </w:rPr>
            </w:pPr>
            <w:r w:rsidRPr="007A2424">
              <w:rPr>
                <w:rFonts w:ascii="Arial" w:hAnsi="Arial" w:cs="Arial"/>
                <w:b/>
                <w:noProof/>
                <w:sz w:val="18"/>
                <w:szCs w:val="18"/>
              </w:rPr>
              <w:t>Constraints</w:t>
            </w:r>
          </w:p>
          <w:p w14:paraId="6959172F" w14:textId="19DB587E" w:rsidR="007A2424" w:rsidRPr="007A2424" w:rsidRDefault="00141AB2" w:rsidP="007A2424">
            <w:pPr>
              <w:pStyle w:val="ListParagraph"/>
              <w:numPr>
                <w:ilvl w:val="0"/>
                <w:numId w:val="26"/>
              </w:numPr>
              <w:spacing w:before="80" w:after="80"/>
              <w:ind w:right="72"/>
              <w:rPr>
                <w:rFonts w:ascii="Arial" w:hAnsi="Arial" w:cs="Arial"/>
                <w:b/>
                <w:sz w:val="18"/>
                <w:szCs w:val="18"/>
              </w:rPr>
            </w:pPr>
            <w:r w:rsidRPr="007A2424">
              <w:rPr>
                <w:rFonts w:ascii="Arial" w:hAnsi="Arial" w:cs="Arial"/>
                <w:bCs/>
                <w:noProof/>
                <w:sz w:val="18"/>
                <w:szCs w:val="18"/>
              </w:rPr>
              <w:t>Availability of participants at participating facilities for the duration of the program</w:t>
            </w:r>
            <w:r w:rsidR="007A2424">
              <w:rPr>
                <w:rFonts w:ascii="Arial" w:hAnsi="Arial" w:cs="Arial"/>
                <w:bCs/>
                <w:noProof/>
                <w:sz w:val="18"/>
                <w:szCs w:val="18"/>
              </w:rPr>
              <w:t>.</w:t>
            </w:r>
          </w:p>
          <w:p w14:paraId="6E57B1F3" w14:textId="77777777" w:rsidR="007A2424" w:rsidRPr="007A2424" w:rsidRDefault="00141AB2" w:rsidP="007A2424">
            <w:pPr>
              <w:pStyle w:val="ListParagraph"/>
              <w:numPr>
                <w:ilvl w:val="0"/>
                <w:numId w:val="26"/>
              </w:numPr>
              <w:spacing w:before="80" w:after="80"/>
              <w:ind w:right="72"/>
              <w:rPr>
                <w:rFonts w:ascii="Arial" w:hAnsi="Arial" w:cs="Arial"/>
                <w:b/>
                <w:sz w:val="18"/>
                <w:szCs w:val="18"/>
              </w:rPr>
            </w:pPr>
            <w:r w:rsidRPr="007A2424">
              <w:rPr>
                <w:rFonts w:ascii="Arial" w:hAnsi="Arial" w:cs="Arial"/>
                <w:bCs/>
                <w:noProof/>
                <w:sz w:val="18"/>
                <w:szCs w:val="18"/>
              </w:rPr>
              <w:lastRenderedPageBreak/>
              <w:t>Capability and availability of internal team members at participating plants to support The Hub LMS integration (i.e. IT/ technical support)</w:t>
            </w:r>
            <w:r w:rsidR="007A2424">
              <w:rPr>
                <w:rFonts w:ascii="Arial" w:hAnsi="Arial" w:cs="Arial"/>
                <w:bCs/>
                <w:noProof/>
                <w:sz w:val="18"/>
                <w:szCs w:val="18"/>
              </w:rPr>
              <w:t>.</w:t>
            </w:r>
            <w:r w:rsidRPr="007A2424">
              <w:rPr>
                <w:rFonts w:ascii="Arial" w:hAnsi="Arial" w:cs="Arial"/>
                <w:bCs/>
                <w:noProof/>
                <w:sz w:val="18"/>
                <w:szCs w:val="18"/>
              </w:rPr>
              <w:br/>
            </w:r>
          </w:p>
          <w:p w14:paraId="4F7304DF" w14:textId="77777777" w:rsidR="007A2424" w:rsidRDefault="00141AB2" w:rsidP="007A2424">
            <w:pPr>
              <w:spacing w:before="80" w:after="80"/>
              <w:ind w:right="72"/>
              <w:rPr>
                <w:rFonts w:ascii="Arial" w:hAnsi="Arial" w:cs="Arial"/>
                <w:bCs/>
                <w:noProof/>
                <w:sz w:val="18"/>
                <w:szCs w:val="18"/>
              </w:rPr>
            </w:pPr>
            <w:r w:rsidRPr="007A2424">
              <w:rPr>
                <w:rFonts w:ascii="Arial" w:hAnsi="Arial" w:cs="Arial"/>
                <w:b/>
                <w:noProof/>
                <w:sz w:val="18"/>
                <w:szCs w:val="18"/>
              </w:rPr>
              <w:t>Dependencies</w:t>
            </w:r>
          </w:p>
          <w:p w14:paraId="20149BAA"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A minimum of 2, ideally 3 participants from the facility is required for this experience to be delivered feasibly as a small cohort. If more than 3 are nominated, additional days for support may be required to include them in the program. </w:t>
            </w:r>
          </w:p>
          <w:p w14:paraId="736DD5BA"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The Optivly project team must be involved in the pre-selection process by providing recommendations to AMPC on eligibility requirements, and a readiness assessment form that AMPC can use to support this. This will guide the sequencing of eligible plants through the program to ensure those involved have the best chance of completing implementation. </w:t>
            </w:r>
          </w:p>
          <w:p w14:paraId="22D9C07C"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An executive Sponsor must be appointed from the participating plant to support and receive updates about the program.</w:t>
            </w:r>
          </w:p>
          <w:p w14:paraId="15BE488B"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A Project Manager or Project Lead will be appointed at participating plants to enable the Optivly team to connect with relevant internal team members across IT and Business Process to support program delivery where required.</w:t>
            </w:r>
          </w:p>
          <w:p w14:paraId="42F7DCD9"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A System Owner (who could be the same person in another role above) must be appointed as the key team member responsible for The Hub LMS. </w:t>
            </w:r>
          </w:p>
          <w:p w14:paraId="05E59D13" w14:textId="77777777" w:rsidR="007A2424"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Cs/>
                <w:noProof/>
                <w:sz w:val="18"/>
                <w:szCs w:val="18"/>
              </w:rPr>
              <w:t>An IT team member within the participating facility must be appointed to support any configuration requirements needed for The Hub LMS implementation to function correctly.</w:t>
            </w:r>
          </w:p>
          <w:p w14:paraId="58FD79DD" w14:textId="31B4F346" w:rsidR="0044733C" w:rsidRPr="007A2424" w:rsidRDefault="00141AB2" w:rsidP="007A2424">
            <w:pPr>
              <w:pStyle w:val="ListParagraph"/>
              <w:numPr>
                <w:ilvl w:val="0"/>
                <w:numId w:val="27"/>
              </w:numPr>
              <w:spacing w:before="80" w:after="80"/>
              <w:ind w:right="72"/>
              <w:rPr>
                <w:rFonts w:ascii="Arial" w:hAnsi="Arial" w:cs="Arial"/>
                <w:b/>
                <w:sz w:val="18"/>
                <w:szCs w:val="18"/>
              </w:rPr>
            </w:pPr>
            <w:r w:rsidRPr="007A2424">
              <w:rPr>
                <w:rFonts w:ascii="Arial" w:hAnsi="Arial" w:cs="Arial"/>
                <w:b/>
                <w:noProof/>
                <w:sz w:val="18"/>
                <w:szCs w:val="18"/>
              </w:rPr>
              <w:t>This project is a co-investment project requiring participating plants to contribute 50 % of the project cost. </w:t>
            </w:r>
          </w:p>
        </w:tc>
      </w:tr>
    </w:tbl>
    <w:p w14:paraId="18B6963A"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3ED88F83"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2FADEFE2"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3203CC6E"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71029605" w14:textId="77777777" w:rsidR="00223C2B"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Tailored Implementation Support – Plants receive direct guidance from Hub Mentors and Canvas Coaches to configure, launch, and integrate the LMS, ensuring a smooth transition to online learning.</w:t>
            </w:r>
          </w:p>
          <w:p w14:paraId="7BDF5384" w14:textId="77777777" w:rsidR="00223C2B"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Two-Year Ongoing Assistance – Participants benefit from 24 months of structured support, including 6 months of adoption training and 18 months of managed service, reducing the burden on internal staff while building in-house capability.</w:t>
            </w:r>
          </w:p>
          <w:p w14:paraId="1BBAE8CC" w14:textId="77777777" w:rsidR="00223C2B"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Workforce Capability Building – Internal staff are trained to become System Owners and administrators, giving the plant sustainable skills to manage and expand their LMS use into the future.</w:t>
            </w:r>
          </w:p>
          <w:p w14:paraId="5C121ECA" w14:textId="77777777" w:rsidR="00223C2B"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Best Practice and Continuous Improvement – Plants contribute to and benefit from the development of LMS adoption best practices, with feedback loops informing AMPC on system improvements and supporting wider industry rollout.</w:t>
            </w:r>
          </w:p>
          <w:p w14:paraId="7A11F153" w14:textId="77777777" w:rsidR="00223C2B"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Reduced Risk and Cost of Adoption – With licensing, IT integration support, and managed service hours included, the program lowers the upfront and operational barriers to adopting an LMS, making online training more cost-effective and achievable.</w:t>
            </w:r>
          </w:p>
          <w:p w14:paraId="15066956" w14:textId="1D63FD22" w:rsidR="0044733C" w:rsidRPr="00223C2B" w:rsidRDefault="00141AB2" w:rsidP="00223C2B">
            <w:pPr>
              <w:pStyle w:val="ListParagraph"/>
              <w:numPr>
                <w:ilvl w:val="0"/>
                <w:numId w:val="28"/>
              </w:numPr>
              <w:spacing w:before="80" w:after="80"/>
              <w:ind w:right="72"/>
              <w:rPr>
                <w:rFonts w:ascii="Arial" w:hAnsi="Arial" w:cs="Arial"/>
                <w:b/>
                <w:sz w:val="18"/>
                <w:szCs w:val="18"/>
              </w:rPr>
            </w:pPr>
            <w:r w:rsidRPr="00223C2B">
              <w:rPr>
                <w:rFonts w:ascii="Arial" w:hAnsi="Arial" w:cs="Arial"/>
                <w:bCs/>
                <w:noProof/>
                <w:sz w:val="18"/>
                <w:szCs w:val="18"/>
              </w:rPr>
              <w:t>Be eligible to apply for AMPC Hub Learning Management System Adoption Program – Part B.</w:t>
            </w:r>
          </w:p>
        </w:tc>
      </w:tr>
    </w:tbl>
    <w:p w14:paraId="56C656AD"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73098368"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11F805F7"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2E60D122" w14:textId="77777777" w:rsidTr="00657972">
        <w:tc>
          <w:tcPr>
            <w:tcW w:w="10491" w:type="dxa"/>
            <w:tcBorders>
              <w:top w:val="single" w:sz="4" w:space="0" w:color="auto"/>
              <w:left w:val="single" w:sz="4" w:space="0" w:color="auto"/>
              <w:bottom w:val="single" w:sz="4" w:space="0" w:color="auto"/>
              <w:right w:val="single" w:sz="4" w:space="0" w:color="auto"/>
            </w:tcBorders>
            <w:shd w:val="clear" w:color="auto" w:fill="auto"/>
          </w:tcPr>
          <w:p w14:paraId="4F033334"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Pr="00214D1A">
              <w:rPr>
                <w:rFonts w:ascii="Arial" w:hAnsi="Arial" w:cs="Arial"/>
                <w:bCs/>
                <w:noProof/>
                <w:sz w:val="18"/>
                <w:szCs w:val="18"/>
              </w:rPr>
              <w:t>Amanda Carter</w:t>
            </w:r>
          </w:p>
          <w:p w14:paraId="48D026A2"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A.Carter@ampc.com.au</w:t>
            </w:r>
          </w:p>
          <w:p w14:paraId="7466FF66" w14:textId="77777777"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0429 658 124</w:t>
            </w:r>
          </w:p>
        </w:tc>
      </w:tr>
    </w:tbl>
    <w:p w14:paraId="5343E08A" w14:textId="77777777" w:rsidR="00CE6F5A" w:rsidRPr="00214D1A" w:rsidRDefault="00CE6F5A" w:rsidP="00CF3C11">
      <w:pPr>
        <w:spacing w:after="0"/>
        <w:ind w:left="-992" w:right="-914"/>
        <w:rPr>
          <w:rFonts w:ascii="Arial" w:hAnsi="Arial" w:cs="Arial"/>
          <w:sz w:val="20"/>
          <w:szCs w:val="20"/>
        </w:rPr>
      </w:pPr>
    </w:p>
    <w:p w14:paraId="1F9FA454" w14:textId="2A675DF6" w:rsidR="00C902A5" w:rsidRPr="00764990" w:rsidRDefault="00C902A5" w:rsidP="006A6514">
      <w:pPr>
        <w:ind w:left="-851"/>
        <w:jc w:val="center"/>
        <w:rPr>
          <w:rFonts w:ascii="Arial" w:hAnsi="Arial" w:cs="Arial"/>
          <w:b/>
        </w:rPr>
      </w:pPr>
      <w:r>
        <w:rPr>
          <w:rFonts w:ascii="Arial" w:hAnsi="Arial" w:cs="Arial"/>
          <w:b/>
        </w:rPr>
        <w:br w:type="page"/>
      </w:r>
      <w:r w:rsidRPr="00764990">
        <w:rPr>
          <w:rFonts w:ascii="Arial" w:hAnsi="Arial" w:cs="Arial"/>
          <w:b/>
        </w:rPr>
        <w:lastRenderedPageBreak/>
        <w:t>EOI RESPONSE FORM</w:t>
      </w:r>
    </w:p>
    <w:p w14:paraId="4A6FDC31" w14:textId="77777777" w:rsidR="00C902A5" w:rsidRPr="00764990" w:rsidRDefault="00C902A5"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2026-1016</w:t>
      </w:r>
      <w:r w:rsidRPr="00764990">
        <w:rPr>
          <w:rFonts w:ascii="Arial" w:hAnsi="Arial" w:cs="Arial"/>
          <w:b/>
          <w:bCs/>
          <w:sz w:val="20"/>
          <w:szCs w:val="20"/>
        </w:rPr>
        <w:t xml:space="preserve"> </w:t>
      </w:r>
      <w:r w:rsidRPr="00764990">
        <w:rPr>
          <w:rFonts w:ascii="Arial" w:hAnsi="Arial" w:cs="Arial"/>
          <w:b/>
          <w:bCs/>
          <w:noProof/>
          <w:sz w:val="20"/>
          <w:szCs w:val="20"/>
        </w:rPr>
        <w:t>AMPC Hub LMS Adoption Program</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sidRPr="00764990">
        <w:rPr>
          <w:rFonts w:ascii="Arial" w:hAnsi="Arial" w:cs="Arial"/>
          <w:b/>
          <w:bCs/>
          <w:noProof/>
          <w:sz w:val="20"/>
          <w:szCs w:val="20"/>
        </w:rPr>
        <w:t>30/9/2025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C902A5" w:rsidRPr="00764990" w14:paraId="40FD7CB2" w14:textId="77777777" w:rsidTr="00211E25">
        <w:trPr>
          <w:trHeight w:val="567"/>
        </w:trPr>
        <w:tc>
          <w:tcPr>
            <w:tcW w:w="2411" w:type="dxa"/>
            <w:shd w:val="clear" w:color="auto" w:fill="E7E6E6"/>
            <w:vAlign w:val="center"/>
          </w:tcPr>
          <w:p w14:paraId="405F2E0D" w14:textId="77777777" w:rsidR="00C902A5" w:rsidRPr="00764990" w:rsidRDefault="00C902A5"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shd w:val="clear" w:color="auto" w:fill="auto"/>
            <w:vAlign w:val="center"/>
          </w:tcPr>
          <w:p w14:paraId="1E7671EE"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bCs/>
                <w:noProof/>
                <w:sz w:val="18"/>
                <w:szCs w:val="18"/>
              </w:rPr>
              <w:t>2026-1016-EOI110</w:t>
            </w:r>
          </w:p>
        </w:tc>
      </w:tr>
    </w:tbl>
    <w:p w14:paraId="57A58C35" w14:textId="77777777" w:rsidR="00C902A5" w:rsidRPr="00764990" w:rsidRDefault="00C902A5" w:rsidP="00BD337D">
      <w:pPr>
        <w:spacing w:after="0"/>
        <w:ind w:left="-851"/>
        <w:jc w:val="center"/>
        <w:rPr>
          <w:rFonts w:ascii="Arial" w:eastAsia="Arial" w:hAnsi="Arial" w:cs="Arial"/>
          <w:b/>
          <w:bCs/>
          <w:color w:val="231F20"/>
          <w:position w:val="-1"/>
          <w:sz w:val="10"/>
          <w:szCs w:val="10"/>
        </w:rPr>
      </w:pPr>
    </w:p>
    <w:p w14:paraId="0500BB67" w14:textId="77777777" w:rsidR="00C902A5" w:rsidRPr="00764990" w:rsidRDefault="00C902A5"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08221259" w14:textId="77777777" w:rsidR="00C902A5" w:rsidRPr="00764990" w:rsidRDefault="00C902A5"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C902A5" w:rsidRPr="00764990" w14:paraId="2C5B5E4A" w14:textId="77777777" w:rsidTr="00211E25">
        <w:trPr>
          <w:trHeight w:val="567"/>
        </w:trPr>
        <w:tc>
          <w:tcPr>
            <w:tcW w:w="2411" w:type="dxa"/>
            <w:shd w:val="clear" w:color="auto" w:fill="E7E6E6"/>
            <w:vAlign w:val="center"/>
          </w:tcPr>
          <w:p w14:paraId="1E268F17" w14:textId="77777777" w:rsidR="00C902A5" w:rsidRPr="00764990" w:rsidRDefault="00C902A5"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shd w:val="clear" w:color="auto" w:fill="auto"/>
            <w:vAlign w:val="center"/>
          </w:tcPr>
          <w:p w14:paraId="484C2605"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C902A5" w:rsidRPr="00764990" w14:paraId="50265889" w14:textId="77777777" w:rsidTr="00211E25">
        <w:trPr>
          <w:trHeight w:val="567"/>
        </w:trPr>
        <w:tc>
          <w:tcPr>
            <w:tcW w:w="2411" w:type="dxa"/>
            <w:shd w:val="clear" w:color="auto" w:fill="E7E6E6"/>
            <w:vAlign w:val="center"/>
          </w:tcPr>
          <w:p w14:paraId="483D19DE" w14:textId="77777777" w:rsidR="00C902A5" w:rsidRPr="00764990" w:rsidRDefault="00C902A5"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shd w:val="clear" w:color="auto" w:fill="auto"/>
            <w:vAlign w:val="center"/>
          </w:tcPr>
          <w:p w14:paraId="6B164372"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6A1F5DCD" w14:textId="77777777" w:rsidR="00C902A5" w:rsidRPr="00764990" w:rsidRDefault="00C902A5"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505E801A" w14:textId="77777777" w:rsidR="00C902A5" w:rsidRPr="00764990" w:rsidRDefault="00C902A5"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54653E3C" w14:textId="77777777" w:rsidR="00C902A5" w:rsidRPr="00764990" w:rsidRDefault="00C902A5" w:rsidP="006A0CEC">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C902A5" w:rsidRPr="00764990" w14:paraId="709D3EB6" w14:textId="77777777" w:rsidTr="00211E25">
        <w:trPr>
          <w:trHeight w:val="567"/>
        </w:trPr>
        <w:tc>
          <w:tcPr>
            <w:tcW w:w="1986" w:type="dxa"/>
            <w:shd w:val="clear" w:color="auto" w:fill="E7E6E6"/>
            <w:vAlign w:val="center"/>
          </w:tcPr>
          <w:p w14:paraId="4B116700" w14:textId="77777777" w:rsidR="00C902A5" w:rsidRPr="00764990" w:rsidRDefault="00C902A5"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shd w:val="clear" w:color="auto" w:fill="auto"/>
            <w:vAlign w:val="center"/>
          </w:tcPr>
          <w:p w14:paraId="75A957B8" w14:textId="77777777" w:rsidR="00C902A5" w:rsidRPr="00764990" w:rsidRDefault="00C902A5"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7C971D2F" w14:textId="77777777" w:rsidR="00C902A5" w:rsidRPr="00764990" w:rsidRDefault="00C902A5"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shd w:val="clear" w:color="auto" w:fill="auto"/>
            <w:vAlign w:val="center"/>
          </w:tcPr>
          <w:p w14:paraId="4C479147" w14:textId="77777777" w:rsidR="00C902A5" w:rsidRPr="00764990" w:rsidRDefault="00C902A5"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C902A5" w:rsidRPr="00764990" w14:paraId="01FD56DA" w14:textId="77777777" w:rsidTr="00211E25">
        <w:trPr>
          <w:trHeight w:val="567"/>
        </w:trPr>
        <w:tc>
          <w:tcPr>
            <w:tcW w:w="1986" w:type="dxa"/>
            <w:shd w:val="clear" w:color="auto" w:fill="E7E6E6"/>
            <w:vAlign w:val="center"/>
          </w:tcPr>
          <w:p w14:paraId="5B7BB7DD" w14:textId="77777777" w:rsidR="00C902A5" w:rsidRPr="00764990" w:rsidRDefault="00C902A5"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shd w:val="clear" w:color="auto" w:fill="auto"/>
            <w:vAlign w:val="center"/>
          </w:tcPr>
          <w:p w14:paraId="34497AEB"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C902A5" w:rsidRPr="00764990" w14:paraId="71519CA1" w14:textId="77777777" w:rsidTr="00211E25">
        <w:trPr>
          <w:trHeight w:val="567"/>
        </w:trPr>
        <w:tc>
          <w:tcPr>
            <w:tcW w:w="1986" w:type="dxa"/>
            <w:shd w:val="clear" w:color="auto" w:fill="E7E6E6"/>
            <w:vAlign w:val="center"/>
          </w:tcPr>
          <w:p w14:paraId="6EF995A0" w14:textId="77777777" w:rsidR="00C902A5" w:rsidRPr="00764990" w:rsidRDefault="00C902A5"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shd w:val="clear" w:color="auto" w:fill="auto"/>
            <w:vAlign w:val="center"/>
          </w:tcPr>
          <w:p w14:paraId="77EE1050"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02F4C148"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shd w:val="clear" w:color="auto" w:fill="auto"/>
            <w:vAlign w:val="center"/>
          </w:tcPr>
          <w:p w14:paraId="02A79025"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C902A5" w:rsidRPr="00764990" w14:paraId="273CBEE1" w14:textId="77777777" w:rsidTr="00211E25">
        <w:trPr>
          <w:trHeight w:val="567"/>
        </w:trPr>
        <w:tc>
          <w:tcPr>
            <w:tcW w:w="1986" w:type="dxa"/>
            <w:shd w:val="clear" w:color="auto" w:fill="E7E6E6"/>
            <w:vAlign w:val="center"/>
          </w:tcPr>
          <w:p w14:paraId="62F2BE5F" w14:textId="77777777" w:rsidR="00C902A5" w:rsidRPr="00764990" w:rsidRDefault="00C902A5"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shd w:val="clear" w:color="auto" w:fill="auto"/>
            <w:vAlign w:val="center"/>
          </w:tcPr>
          <w:p w14:paraId="157E3ED2"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6073873E" w14:textId="77777777" w:rsidR="00C902A5" w:rsidRPr="00764990" w:rsidRDefault="00C902A5" w:rsidP="006A0CEC">
      <w:pPr>
        <w:spacing w:after="0"/>
        <w:ind w:left="-851"/>
        <w:jc w:val="center"/>
        <w:rPr>
          <w:rFonts w:ascii="Arial" w:eastAsia="Arial" w:hAnsi="Arial" w:cs="Arial"/>
          <w:b/>
          <w:bCs/>
          <w:color w:val="231F20"/>
          <w:position w:val="-1"/>
          <w:sz w:val="10"/>
          <w:szCs w:val="10"/>
        </w:rPr>
      </w:pPr>
    </w:p>
    <w:p w14:paraId="4B1836A1" w14:textId="77777777" w:rsidR="00C902A5" w:rsidRPr="00764990" w:rsidRDefault="00C902A5"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7AF4A7E9" w14:textId="77777777" w:rsidR="00C902A5" w:rsidRPr="00764990" w:rsidRDefault="00C902A5" w:rsidP="006A0CEC">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902A5" w:rsidRPr="00764990" w14:paraId="7F38BF27" w14:textId="77777777" w:rsidTr="004B6070">
        <w:trPr>
          <w:trHeight w:val="567"/>
        </w:trPr>
        <w:tc>
          <w:tcPr>
            <w:tcW w:w="10491" w:type="dxa"/>
            <w:shd w:val="clear" w:color="auto" w:fill="auto"/>
            <w:vAlign w:val="center"/>
          </w:tcPr>
          <w:p w14:paraId="16DA854A" w14:textId="77777777" w:rsidR="00C902A5" w:rsidRPr="00764990" w:rsidRDefault="00C902A5"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5838343C" w14:textId="1B81394A" w:rsidR="00C902A5" w:rsidRPr="00764990" w:rsidRDefault="00C902A5" w:rsidP="00BD6C39">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00025840"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bookmarkEnd w:id="11"/>
            <w:r w:rsidR="00A31843">
              <w:rPr>
                <w:rFonts w:ascii="Arial" w:hAnsi="Arial" w:cs="Arial"/>
                <w:sz w:val="18"/>
                <w:szCs w:val="18"/>
              </w:rPr>
              <w:t xml:space="preserve"> Adoption</w:t>
            </w:r>
          </w:p>
        </w:tc>
      </w:tr>
    </w:tbl>
    <w:p w14:paraId="3F0A47CF" w14:textId="77777777" w:rsidR="00C902A5" w:rsidRPr="00764990" w:rsidRDefault="00C902A5" w:rsidP="00AB48F4">
      <w:pPr>
        <w:ind w:left="-851"/>
        <w:rPr>
          <w:rFonts w:ascii="Arial" w:eastAsia="Arial" w:hAnsi="Arial" w:cs="Arial"/>
          <w:b/>
          <w:bCs/>
          <w:color w:val="231F20"/>
          <w:position w:val="-1"/>
          <w:sz w:val="6"/>
          <w:szCs w:val="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C902A5" w:rsidRPr="00764990" w14:paraId="0B3ED730" w14:textId="77777777" w:rsidTr="007D0218">
        <w:trPr>
          <w:trHeight w:val="567"/>
        </w:trPr>
        <w:tc>
          <w:tcPr>
            <w:tcW w:w="10491" w:type="dxa"/>
            <w:gridSpan w:val="2"/>
            <w:shd w:val="clear" w:color="auto" w:fill="0D0D0D"/>
            <w:vAlign w:val="center"/>
          </w:tcPr>
          <w:p w14:paraId="0871A7CB" w14:textId="77777777" w:rsidR="00C902A5" w:rsidRPr="00764990" w:rsidRDefault="00C902A5" w:rsidP="00CF1B0C">
            <w:pPr>
              <w:widowControl w:val="0"/>
              <w:spacing w:before="80" w:after="80"/>
              <w:ind w:right="72"/>
              <w:jc w:val="center"/>
              <w:rPr>
                <w:rFonts w:ascii="Arial" w:hAnsi="Arial" w:cs="Arial"/>
                <w:sz w:val="20"/>
                <w:szCs w:val="20"/>
              </w:rPr>
            </w:pPr>
            <w:r w:rsidRPr="00764990">
              <w:rPr>
                <w:rFonts w:ascii="Arial" w:hAnsi="Arial" w:cs="Arial"/>
                <w:b/>
                <w:sz w:val="20"/>
                <w:szCs w:val="20"/>
              </w:rPr>
              <w:t>Important Note</w:t>
            </w:r>
          </w:p>
        </w:tc>
      </w:tr>
      <w:tr w:rsidR="00C902A5" w:rsidRPr="00764990" w14:paraId="2FF0E9CB" w14:textId="77777777" w:rsidTr="00CF1B0C">
        <w:trPr>
          <w:trHeight w:val="567"/>
        </w:trPr>
        <w:tc>
          <w:tcPr>
            <w:tcW w:w="10491" w:type="dxa"/>
            <w:gridSpan w:val="2"/>
            <w:shd w:val="clear" w:color="auto" w:fill="auto"/>
            <w:vAlign w:val="center"/>
          </w:tcPr>
          <w:p w14:paraId="04D20802" w14:textId="77777777" w:rsidR="00C902A5" w:rsidRPr="00764990" w:rsidRDefault="00C902A5" w:rsidP="00CF1B0C">
            <w:pPr>
              <w:widowControl w:val="0"/>
              <w:spacing w:before="80" w:after="80"/>
              <w:ind w:right="72"/>
              <w:rPr>
                <w:rFonts w:ascii="Arial" w:hAnsi="Arial" w:cs="Arial"/>
                <w:sz w:val="18"/>
                <w:szCs w:val="18"/>
              </w:rPr>
            </w:pPr>
            <w:r w:rsidRPr="00764990">
              <w:rPr>
                <w:rFonts w:ascii="Arial" w:hAnsi="Arial" w:cs="Arial"/>
                <w:sz w:val="18"/>
                <w:szCs w:val="18"/>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0889F7B7" w14:textId="77777777" w:rsidR="00C902A5" w:rsidRPr="00764990" w:rsidRDefault="00C902A5" w:rsidP="00CF1B0C">
            <w:pPr>
              <w:widowControl w:val="0"/>
              <w:spacing w:before="80" w:after="80"/>
              <w:ind w:right="72"/>
              <w:rPr>
                <w:rFonts w:ascii="Arial" w:hAnsi="Arial" w:cs="Arial"/>
                <w:sz w:val="20"/>
                <w:szCs w:val="20"/>
              </w:rPr>
            </w:pPr>
            <w:r w:rsidRPr="00764990">
              <w:rPr>
                <w:rFonts w:ascii="Arial" w:hAnsi="Arial" w:cs="Arial"/>
                <w:sz w:val="18"/>
                <w:szCs w:val="18"/>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C902A5" w:rsidRPr="00764990" w14:paraId="71E5F288" w14:textId="77777777" w:rsidTr="00211E25">
        <w:trPr>
          <w:trHeight w:val="567"/>
        </w:trPr>
        <w:tc>
          <w:tcPr>
            <w:tcW w:w="4395" w:type="dxa"/>
            <w:shd w:val="clear" w:color="auto" w:fill="E7E6E6"/>
            <w:vAlign w:val="center"/>
          </w:tcPr>
          <w:p w14:paraId="4845E112" w14:textId="77777777" w:rsidR="00C902A5" w:rsidRPr="00764990" w:rsidRDefault="00C902A5" w:rsidP="007D0218">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shd w:val="clear" w:color="auto" w:fill="auto"/>
            <w:vAlign w:val="center"/>
          </w:tcPr>
          <w:p w14:paraId="3BD83E97" w14:textId="77777777" w:rsidR="00C902A5" w:rsidRPr="00764990" w:rsidRDefault="00C902A5"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C902A5" w:rsidRPr="00764990" w14:paraId="3B97F8A0" w14:textId="77777777" w:rsidTr="00211E25">
        <w:trPr>
          <w:trHeight w:val="567"/>
        </w:trPr>
        <w:tc>
          <w:tcPr>
            <w:tcW w:w="4395" w:type="dxa"/>
            <w:shd w:val="clear" w:color="auto" w:fill="E7E6E6"/>
            <w:vAlign w:val="center"/>
          </w:tcPr>
          <w:p w14:paraId="1D9636C8" w14:textId="77777777" w:rsidR="00C902A5" w:rsidRPr="00764990" w:rsidRDefault="00C902A5"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shd w:val="clear" w:color="auto" w:fill="auto"/>
            <w:vAlign w:val="center"/>
          </w:tcPr>
          <w:p w14:paraId="26C05560" w14:textId="77777777" w:rsidR="00C902A5" w:rsidRPr="00764990" w:rsidRDefault="00C902A5"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C902A5" w:rsidRPr="00764990" w14:paraId="08A2B3CF" w14:textId="77777777" w:rsidTr="00211E25">
        <w:trPr>
          <w:trHeight w:val="567"/>
        </w:trPr>
        <w:tc>
          <w:tcPr>
            <w:tcW w:w="4395" w:type="dxa"/>
            <w:shd w:val="clear" w:color="auto" w:fill="E7E6E6"/>
            <w:vAlign w:val="center"/>
          </w:tcPr>
          <w:p w14:paraId="5029E72B" w14:textId="77777777" w:rsidR="00C902A5" w:rsidRPr="00764990" w:rsidRDefault="00C902A5"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shd w:val="clear" w:color="auto" w:fill="auto"/>
            <w:vAlign w:val="center"/>
          </w:tcPr>
          <w:p w14:paraId="72963CAD" w14:textId="77777777" w:rsidR="00C902A5" w:rsidRPr="00764990" w:rsidRDefault="00C902A5"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C902A5" w:rsidRPr="00764990" w14:paraId="4B0C7C8D" w14:textId="77777777" w:rsidTr="00211E25">
        <w:trPr>
          <w:trHeight w:val="567"/>
        </w:trPr>
        <w:tc>
          <w:tcPr>
            <w:tcW w:w="4395" w:type="dxa"/>
            <w:shd w:val="clear" w:color="auto" w:fill="E7E6E6"/>
            <w:vAlign w:val="center"/>
          </w:tcPr>
          <w:p w14:paraId="64D8C285" w14:textId="77777777" w:rsidR="00C902A5" w:rsidRPr="00764990" w:rsidRDefault="00C902A5" w:rsidP="007D0218">
            <w:pPr>
              <w:widowControl w:val="0"/>
              <w:spacing w:before="80" w:after="80"/>
              <w:ind w:right="72"/>
              <w:rPr>
                <w:rFonts w:ascii="Arial" w:hAnsi="Arial" w:cs="Arial"/>
                <w:b/>
                <w:sz w:val="18"/>
                <w:szCs w:val="18"/>
              </w:rPr>
            </w:pPr>
            <w:r w:rsidRPr="00764990">
              <w:rPr>
                <w:rFonts w:ascii="Arial" w:hAnsi="Arial" w:cs="Arial"/>
                <w:b/>
                <w:sz w:val="18"/>
                <w:szCs w:val="18"/>
              </w:rPr>
              <w:t>Date</w:t>
            </w:r>
          </w:p>
        </w:tc>
        <w:tc>
          <w:tcPr>
            <w:tcW w:w="6096" w:type="dxa"/>
            <w:shd w:val="clear" w:color="auto" w:fill="auto"/>
            <w:vAlign w:val="center"/>
          </w:tcPr>
          <w:p w14:paraId="6AAB5C9A" w14:textId="77777777" w:rsidR="00C902A5" w:rsidRPr="00764990" w:rsidRDefault="00C902A5"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6E09EA24" w14:textId="77777777" w:rsidR="008E478E" w:rsidRPr="00A31843" w:rsidRDefault="008E478E" w:rsidP="00A31843">
      <w:pPr>
        <w:spacing w:after="0"/>
        <w:ind w:left="-992" w:right="-914"/>
        <w:rPr>
          <w:rFonts w:ascii="Arial" w:hAnsi="Arial" w:cs="Arial"/>
          <w:sz w:val="2"/>
          <w:szCs w:val="2"/>
        </w:rPr>
      </w:pPr>
    </w:p>
    <w:sectPr w:rsidR="008E478E" w:rsidRPr="00A31843" w:rsidSect="008E478E">
      <w:headerReference w:type="even" r:id="rId12"/>
      <w:headerReference w:type="default" r:id="rId13"/>
      <w:footerReference w:type="even" r:id="rId14"/>
      <w:footerReference w:type="default" r:id="rId15"/>
      <w:headerReference w:type="first" r:id="rId16"/>
      <w:footerReference w:type="first" r:id="rId17"/>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4F23" w14:textId="77777777" w:rsidR="00C02DB2" w:rsidRDefault="00C02DB2">
      <w:pPr>
        <w:spacing w:after="0"/>
      </w:pPr>
      <w:r>
        <w:separator/>
      </w:r>
    </w:p>
  </w:endnote>
  <w:endnote w:type="continuationSeparator" w:id="0">
    <w:p w14:paraId="06FFF126" w14:textId="77777777" w:rsidR="00C02DB2" w:rsidRDefault="00C02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57D6" w14:textId="77777777" w:rsidR="00F03BF1" w:rsidRDefault="00F0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4186"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2026-1016-EOI110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F757"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2026-1016-EOI110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8347" w14:textId="77777777" w:rsidR="00C02DB2" w:rsidRDefault="00C02DB2">
      <w:pPr>
        <w:spacing w:after="0"/>
      </w:pPr>
      <w:r>
        <w:separator/>
      </w:r>
    </w:p>
  </w:footnote>
  <w:footnote w:type="continuationSeparator" w:id="0">
    <w:p w14:paraId="74DEAFB9" w14:textId="77777777" w:rsidR="00C02DB2" w:rsidRDefault="00C02D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6086" w14:textId="77777777" w:rsidR="00F03BF1" w:rsidRDefault="00F0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0F78" w14:textId="6B833F44" w:rsidR="00B3344F" w:rsidRDefault="00C902A5" w:rsidP="00B3344F">
    <w:pPr>
      <w:pStyle w:val="Header"/>
      <w:jc w:val="right"/>
    </w:pPr>
    <w:r>
      <w:rPr>
        <w:noProof/>
      </w:rPr>
      <w:drawing>
        <wp:anchor distT="0" distB="0" distL="114300" distR="114300" simplePos="0" relativeHeight="251658240" behindDoc="0" locked="0" layoutInCell="1" allowOverlap="1" wp14:anchorId="3F7A26A2" wp14:editId="556053FF">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F5159"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DA86" w14:textId="4DF06EE0" w:rsidR="00CD5719" w:rsidRDefault="00C902A5" w:rsidP="00751686">
    <w:pPr>
      <w:pStyle w:val="Header"/>
      <w:jc w:val="right"/>
    </w:pPr>
    <w:r>
      <w:rPr>
        <w:noProof/>
      </w:rPr>
      <w:drawing>
        <wp:anchor distT="0" distB="0" distL="114300" distR="114300" simplePos="0" relativeHeight="251657216" behindDoc="0" locked="0" layoutInCell="1" allowOverlap="1" wp14:anchorId="4C28DE0F" wp14:editId="6D50C05C">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AEE78"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C9594E"/>
    <w:multiLevelType w:val="hybridMultilevel"/>
    <w:tmpl w:val="8BD2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0047D"/>
    <w:multiLevelType w:val="hybridMultilevel"/>
    <w:tmpl w:val="C00A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010FB9"/>
    <w:multiLevelType w:val="hybridMultilevel"/>
    <w:tmpl w:val="9A5C5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E371A7"/>
    <w:multiLevelType w:val="hybridMultilevel"/>
    <w:tmpl w:val="D7324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ED42BD"/>
    <w:multiLevelType w:val="hybridMultilevel"/>
    <w:tmpl w:val="09382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2A54F5"/>
    <w:multiLevelType w:val="hybridMultilevel"/>
    <w:tmpl w:val="29F4E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266E7"/>
    <w:multiLevelType w:val="hybridMultilevel"/>
    <w:tmpl w:val="CD70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1774AF"/>
    <w:multiLevelType w:val="hybridMultilevel"/>
    <w:tmpl w:val="422C0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33479C"/>
    <w:multiLevelType w:val="hybridMultilevel"/>
    <w:tmpl w:val="E5769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4254665">
    <w:abstractNumId w:val="10"/>
  </w:num>
  <w:num w:numId="2" w16cid:durableId="346252688">
    <w:abstractNumId w:val="8"/>
  </w:num>
  <w:num w:numId="3" w16cid:durableId="40523180">
    <w:abstractNumId w:val="7"/>
  </w:num>
  <w:num w:numId="4" w16cid:durableId="18968019">
    <w:abstractNumId w:val="6"/>
  </w:num>
  <w:num w:numId="5" w16cid:durableId="403837970">
    <w:abstractNumId w:val="5"/>
  </w:num>
  <w:num w:numId="6" w16cid:durableId="476532206">
    <w:abstractNumId w:val="9"/>
  </w:num>
  <w:num w:numId="7" w16cid:durableId="1935047503">
    <w:abstractNumId w:val="4"/>
  </w:num>
  <w:num w:numId="8" w16cid:durableId="1626035568">
    <w:abstractNumId w:val="3"/>
  </w:num>
  <w:num w:numId="9" w16cid:durableId="1708336702">
    <w:abstractNumId w:val="2"/>
  </w:num>
  <w:num w:numId="10" w16cid:durableId="1269891878">
    <w:abstractNumId w:val="1"/>
  </w:num>
  <w:num w:numId="11" w16cid:durableId="1917979169">
    <w:abstractNumId w:val="0"/>
  </w:num>
  <w:num w:numId="12" w16cid:durableId="1406762031">
    <w:abstractNumId w:val="18"/>
  </w:num>
  <w:num w:numId="13" w16cid:durableId="2070612954">
    <w:abstractNumId w:val="11"/>
  </w:num>
  <w:num w:numId="14" w16cid:durableId="1613249684">
    <w:abstractNumId w:val="25"/>
  </w:num>
  <w:num w:numId="15" w16cid:durableId="810560703">
    <w:abstractNumId w:val="26"/>
  </w:num>
  <w:num w:numId="16" w16cid:durableId="1514108720">
    <w:abstractNumId w:val="12"/>
  </w:num>
  <w:num w:numId="17" w16cid:durableId="1308434345">
    <w:abstractNumId w:val="15"/>
  </w:num>
  <w:num w:numId="18" w16cid:durableId="1526820942">
    <w:abstractNumId w:val="22"/>
  </w:num>
  <w:num w:numId="19" w16cid:durableId="687677823">
    <w:abstractNumId w:val="13"/>
  </w:num>
  <w:num w:numId="20" w16cid:durableId="445467829">
    <w:abstractNumId w:val="27"/>
  </w:num>
  <w:num w:numId="21" w16cid:durableId="1059860452">
    <w:abstractNumId w:val="24"/>
  </w:num>
  <w:num w:numId="22" w16cid:durableId="781999560">
    <w:abstractNumId w:val="14"/>
  </w:num>
  <w:num w:numId="23" w16cid:durableId="2082016708">
    <w:abstractNumId w:val="21"/>
  </w:num>
  <w:num w:numId="24" w16cid:durableId="1929580742">
    <w:abstractNumId w:val="20"/>
  </w:num>
  <w:num w:numId="25" w16cid:durableId="233006536">
    <w:abstractNumId w:val="23"/>
  </w:num>
  <w:num w:numId="26" w16cid:durableId="984427422">
    <w:abstractNumId w:val="16"/>
  </w:num>
  <w:num w:numId="27" w16cid:durableId="578251587">
    <w:abstractNumId w:val="19"/>
  </w:num>
  <w:num w:numId="28" w16cid:durableId="1193302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1" w:cryptProviderType="rsaAES" w:cryptAlgorithmClass="hash" w:cryptAlgorithmType="typeAny" w:cryptAlgorithmSid="14" w:cryptSpinCount="100000" w:hash="X23DXlQUbZG5IbjqxV8zluTAAn6h5id2GgVLyUOo1eVBFEondYnNXN0CLHiZUqelpTwuekUXtqnkpEj370embw==" w:salt="1bVOerykpR5eBWTxxaOrCA=="/>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5840"/>
    <w:rsid w:val="00026819"/>
    <w:rsid w:val="000330F0"/>
    <w:rsid w:val="00047BC2"/>
    <w:rsid w:val="00060AA0"/>
    <w:rsid w:val="00061994"/>
    <w:rsid w:val="00076477"/>
    <w:rsid w:val="00095F09"/>
    <w:rsid w:val="000A2EFD"/>
    <w:rsid w:val="000B6A8F"/>
    <w:rsid w:val="000D1243"/>
    <w:rsid w:val="000E783C"/>
    <w:rsid w:val="000F256C"/>
    <w:rsid w:val="00104470"/>
    <w:rsid w:val="00106C32"/>
    <w:rsid w:val="00127003"/>
    <w:rsid w:val="001307F9"/>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4D1A"/>
    <w:rsid w:val="002210D1"/>
    <w:rsid w:val="0022143D"/>
    <w:rsid w:val="00223C2B"/>
    <w:rsid w:val="00224C03"/>
    <w:rsid w:val="0023506E"/>
    <w:rsid w:val="00252604"/>
    <w:rsid w:val="0026766B"/>
    <w:rsid w:val="0028419E"/>
    <w:rsid w:val="00284FD2"/>
    <w:rsid w:val="00287487"/>
    <w:rsid w:val="00287CED"/>
    <w:rsid w:val="00297287"/>
    <w:rsid w:val="00297512"/>
    <w:rsid w:val="002A3DDF"/>
    <w:rsid w:val="002A4956"/>
    <w:rsid w:val="002A6E35"/>
    <w:rsid w:val="002B5E91"/>
    <w:rsid w:val="002B6D6A"/>
    <w:rsid w:val="002D17BE"/>
    <w:rsid w:val="002E0F45"/>
    <w:rsid w:val="002E685C"/>
    <w:rsid w:val="00301536"/>
    <w:rsid w:val="00332E6C"/>
    <w:rsid w:val="00336D4F"/>
    <w:rsid w:val="00337358"/>
    <w:rsid w:val="00347858"/>
    <w:rsid w:val="0035085D"/>
    <w:rsid w:val="00352718"/>
    <w:rsid w:val="00357757"/>
    <w:rsid w:val="003810CB"/>
    <w:rsid w:val="00382C2C"/>
    <w:rsid w:val="003903F1"/>
    <w:rsid w:val="003A31E0"/>
    <w:rsid w:val="003A5A1C"/>
    <w:rsid w:val="003A6265"/>
    <w:rsid w:val="003A7011"/>
    <w:rsid w:val="003B4B7B"/>
    <w:rsid w:val="003D0E2F"/>
    <w:rsid w:val="003D1FB9"/>
    <w:rsid w:val="003D2A67"/>
    <w:rsid w:val="003E406E"/>
    <w:rsid w:val="00400685"/>
    <w:rsid w:val="004020AB"/>
    <w:rsid w:val="00402859"/>
    <w:rsid w:val="0040330F"/>
    <w:rsid w:val="004110F2"/>
    <w:rsid w:val="00422DF9"/>
    <w:rsid w:val="00422E8A"/>
    <w:rsid w:val="00423BF5"/>
    <w:rsid w:val="00424D8D"/>
    <w:rsid w:val="004338A5"/>
    <w:rsid w:val="0043411F"/>
    <w:rsid w:val="00436ADD"/>
    <w:rsid w:val="0044733C"/>
    <w:rsid w:val="00455143"/>
    <w:rsid w:val="00487E05"/>
    <w:rsid w:val="004961B5"/>
    <w:rsid w:val="00496402"/>
    <w:rsid w:val="004A0648"/>
    <w:rsid w:val="004A779D"/>
    <w:rsid w:val="004C631C"/>
    <w:rsid w:val="004D1F99"/>
    <w:rsid w:val="004D61D0"/>
    <w:rsid w:val="004D7939"/>
    <w:rsid w:val="004E07EA"/>
    <w:rsid w:val="004E0C09"/>
    <w:rsid w:val="004F2138"/>
    <w:rsid w:val="004F5628"/>
    <w:rsid w:val="004F6273"/>
    <w:rsid w:val="00500B9C"/>
    <w:rsid w:val="00521BB6"/>
    <w:rsid w:val="005226BC"/>
    <w:rsid w:val="00562FC6"/>
    <w:rsid w:val="00567348"/>
    <w:rsid w:val="00570687"/>
    <w:rsid w:val="00574EF4"/>
    <w:rsid w:val="005763C0"/>
    <w:rsid w:val="005767A9"/>
    <w:rsid w:val="005A6D4A"/>
    <w:rsid w:val="005A7BB2"/>
    <w:rsid w:val="005B145E"/>
    <w:rsid w:val="005C7024"/>
    <w:rsid w:val="005F1910"/>
    <w:rsid w:val="005F469B"/>
    <w:rsid w:val="005F6B0E"/>
    <w:rsid w:val="005F7070"/>
    <w:rsid w:val="005F7912"/>
    <w:rsid w:val="006017A5"/>
    <w:rsid w:val="00603E8B"/>
    <w:rsid w:val="00641ACF"/>
    <w:rsid w:val="0065180E"/>
    <w:rsid w:val="00657972"/>
    <w:rsid w:val="00661C54"/>
    <w:rsid w:val="00673DC0"/>
    <w:rsid w:val="00681117"/>
    <w:rsid w:val="00683E00"/>
    <w:rsid w:val="00691CBC"/>
    <w:rsid w:val="006939C8"/>
    <w:rsid w:val="006958C8"/>
    <w:rsid w:val="00695C20"/>
    <w:rsid w:val="00696824"/>
    <w:rsid w:val="006A510F"/>
    <w:rsid w:val="006A6514"/>
    <w:rsid w:val="006B62A2"/>
    <w:rsid w:val="006C7B86"/>
    <w:rsid w:val="006E5BE4"/>
    <w:rsid w:val="006F3568"/>
    <w:rsid w:val="006F68A0"/>
    <w:rsid w:val="007009CE"/>
    <w:rsid w:val="00702E61"/>
    <w:rsid w:val="00703AFB"/>
    <w:rsid w:val="0070716C"/>
    <w:rsid w:val="00722D03"/>
    <w:rsid w:val="00742A7E"/>
    <w:rsid w:val="00746876"/>
    <w:rsid w:val="00751686"/>
    <w:rsid w:val="00756ECF"/>
    <w:rsid w:val="00766F20"/>
    <w:rsid w:val="00780FC4"/>
    <w:rsid w:val="007A2424"/>
    <w:rsid w:val="007A3A91"/>
    <w:rsid w:val="007B2693"/>
    <w:rsid w:val="007D314B"/>
    <w:rsid w:val="007E17A5"/>
    <w:rsid w:val="00800776"/>
    <w:rsid w:val="00801F16"/>
    <w:rsid w:val="00802BF0"/>
    <w:rsid w:val="00804CA7"/>
    <w:rsid w:val="00806CFB"/>
    <w:rsid w:val="008159BB"/>
    <w:rsid w:val="00816604"/>
    <w:rsid w:val="008256CB"/>
    <w:rsid w:val="00826664"/>
    <w:rsid w:val="00841DDB"/>
    <w:rsid w:val="00843060"/>
    <w:rsid w:val="00846A9B"/>
    <w:rsid w:val="00860143"/>
    <w:rsid w:val="00866AE1"/>
    <w:rsid w:val="0087200C"/>
    <w:rsid w:val="0087398E"/>
    <w:rsid w:val="008743D7"/>
    <w:rsid w:val="00892E85"/>
    <w:rsid w:val="00895356"/>
    <w:rsid w:val="00895650"/>
    <w:rsid w:val="008A145A"/>
    <w:rsid w:val="008B000B"/>
    <w:rsid w:val="008E478E"/>
    <w:rsid w:val="008E5830"/>
    <w:rsid w:val="0090083F"/>
    <w:rsid w:val="00902A8B"/>
    <w:rsid w:val="00931178"/>
    <w:rsid w:val="009509C9"/>
    <w:rsid w:val="00951CFD"/>
    <w:rsid w:val="009535F1"/>
    <w:rsid w:val="00955B8C"/>
    <w:rsid w:val="0098171B"/>
    <w:rsid w:val="00986B77"/>
    <w:rsid w:val="009C3AE6"/>
    <w:rsid w:val="009C6D9F"/>
    <w:rsid w:val="009D0984"/>
    <w:rsid w:val="009E705A"/>
    <w:rsid w:val="009F1653"/>
    <w:rsid w:val="00A039CC"/>
    <w:rsid w:val="00A055B0"/>
    <w:rsid w:val="00A10AA5"/>
    <w:rsid w:val="00A26E7D"/>
    <w:rsid w:val="00A313AE"/>
    <w:rsid w:val="00A31843"/>
    <w:rsid w:val="00A5150E"/>
    <w:rsid w:val="00A5670F"/>
    <w:rsid w:val="00A730F8"/>
    <w:rsid w:val="00A7727E"/>
    <w:rsid w:val="00A8444E"/>
    <w:rsid w:val="00A93E43"/>
    <w:rsid w:val="00AB48F4"/>
    <w:rsid w:val="00AB5D91"/>
    <w:rsid w:val="00AD5F7F"/>
    <w:rsid w:val="00AE0E85"/>
    <w:rsid w:val="00AE5F34"/>
    <w:rsid w:val="00AF7D0D"/>
    <w:rsid w:val="00B024B9"/>
    <w:rsid w:val="00B14E4F"/>
    <w:rsid w:val="00B323D0"/>
    <w:rsid w:val="00B325D0"/>
    <w:rsid w:val="00B32A8A"/>
    <w:rsid w:val="00B3344F"/>
    <w:rsid w:val="00B34FE3"/>
    <w:rsid w:val="00B4746B"/>
    <w:rsid w:val="00B615AF"/>
    <w:rsid w:val="00B64137"/>
    <w:rsid w:val="00B67C9F"/>
    <w:rsid w:val="00B713BD"/>
    <w:rsid w:val="00B731DD"/>
    <w:rsid w:val="00B85758"/>
    <w:rsid w:val="00BA1851"/>
    <w:rsid w:val="00BA632F"/>
    <w:rsid w:val="00BA65AD"/>
    <w:rsid w:val="00BC541A"/>
    <w:rsid w:val="00BD21A5"/>
    <w:rsid w:val="00BD337D"/>
    <w:rsid w:val="00BD6FC0"/>
    <w:rsid w:val="00BD7D7B"/>
    <w:rsid w:val="00BE10E0"/>
    <w:rsid w:val="00C0250F"/>
    <w:rsid w:val="00C02DB2"/>
    <w:rsid w:val="00C14F2B"/>
    <w:rsid w:val="00C2484E"/>
    <w:rsid w:val="00C32FC9"/>
    <w:rsid w:val="00C34227"/>
    <w:rsid w:val="00C42F9B"/>
    <w:rsid w:val="00C43B5F"/>
    <w:rsid w:val="00C45259"/>
    <w:rsid w:val="00C478E6"/>
    <w:rsid w:val="00C52BBC"/>
    <w:rsid w:val="00C55162"/>
    <w:rsid w:val="00C6206B"/>
    <w:rsid w:val="00C71C70"/>
    <w:rsid w:val="00C75F03"/>
    <w:rsid w:val="00C77941"/>
    <w:rsid w:val="00C868B4"/>
    <w:rsid w:val="00C87585"/>
    <w:rsid w:val="00C902A5"/>
    <w:rsid w:val="00C92505"/>
    <w:rsid w:val="00C97AF4"/>
    <w:rsid w:val="00CA0D23"/>
    <w:rsid w:val="00CA2CD4"/>
    <w:rsid w:val="00CB6673"/>
    <w:rsid w:val="00CD1662"/>
    <w:rsid w:val="00CD4C6C"/>
    <w:rsid w:val="00CD5719"/>
    <w:rsid w:val="00CE6F5A"/>
    <w:rsid w:val="00CF3C11"/>
    <w:rsid w:val="00D018C8"/>
    <w:rsid w:val="00D025B3"/>
    <w:rsid w:val="00D1329C"/>
    <w:rsid w:val="00D134D4"/>
    <w:rsid w:val="00D13DC5"/>
    <w:rsid w:val="00D3322F"/>
    <w:rsid w:val="00D33F79"/>
    <w:rsid w:val="00D4767D"/>
    <w:rsid w:val="00D50E1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F3647"/>
    <w:rsid w:val="00E05CFB"/>
    <w:rsid w:val="00E111E0"/>
    <w:rsid w:val="00E24CF4"/>
    <w:rsid w:val="00E36DE1"/>
    <w:rsid w:val="00E41D90"/>
    <w:rsid w:val="00E4661A"/>
    <w:rsid w:val="00E47CBF"/>
    <w:rsid w:val="00E52D03"/>
    <w:rsid w:val="00E5448D"/>
    <w:rsid w:val="00E6634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3BF1"/>
    <w:rsid w:val="00F107BE"/>
    <w:rsid w:val="00F1429B"/>
    <w:rsid w:val="00F349C4"/>
    <w:rsid w:val="00F37762"/>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B0B45"/>
    <w:rsid w:val="00FB4CC8"/>
    <w:rsid w:val="00FC2DB0"/>
    <w:rsid w:val="00FC2F61"/>
    <w:rsid w:val="00FD2C05"/>
    <w:rsid w:val="00FD4128"/>
    <w:rsid w:val="00FD7097"/>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476B"/>
  <w15:chartTrackingRefBased/>
  <w15:docId w15:val="{BD163063-3300-435F-997B-984190BB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3511e3a-bea0-48f5-96ba-bd7a27cbea56" xsi:nil="true"/>
    <lcf76f155ced4ddcb4097134ff3c332f xmlns="f8065530-227a-40b8-9199-93b0a0a9a9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57F2FE-4918-49B5-863F-947CF8795D2D}">
  <ds:schemaRefs>
    <ds:schemaRef ds:uri="http://schemas.microsoft.com/sharepoint/v3/contenttype/forms"/>
  </ds:schemaRefs>
</ds:datastoreItem>
</file>

<file path=customXml/itemProps2.xml><?xml version="1.0" encoding="utf-8"?>
<ds:datastoreItem xmlns:ds="http://schemas.openxmlformats.org/officeDocument/2006/customXml" ds:itemID="{61F5FEBE-8ACE-49D8-9F25-226F9B0C3129}">
  <ds:schemaRefs>
    <ds:schemaRef ds:uri="http://schemas.microsoft.com/office/2006/metadata/longProperties"/>
  </ds:schemaRefs>
</ds:datastoreItem>
</file>

<file path=customXml/itemProps3.xml><?xml version="1.0" encoding="utf-8"?>
<ds:datastoreItem xmlns:ds="http://schemas.openxmlformats.org/officeDocument/2006/customXml" ds:itemID="{85C98D5F-CCDD-4FC8-95A1-0CEFE9F2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0D151-7862-46CD-A48E-F3729A6E3414}">
  <ds:schemaRefs>
    <ds:schemaRef ds:uri="http://schemas.openxmlformats.org/officeDocument/2006/bibliography"/>
  </ds:schemaRefs>
</ds:datastoreItem>
</file>

<file path=customXml/itemProps5.xml><?xml version="1.0" encoding="utf-8"?>
<ds:datastoreItem xmlns:ds="http://schemas.openxmlformats.org/officeDocument/2006/customXml" ds:itemID="{44BA6CEE-EEF4-4F25-806D-2C89B02F64AE}">
  <ds:schemaRefs>
    <ds:schemaRef ds:uri="http://schemas.microsoft.com/office/2006/metadata/properties"/>
    <ds:schemaRef ds:uri="http://schemas.microsoft.com/office/infopath/2007/PartnerControls"/>
    <ds:schemaRef ds:uri="03511e3a-bea0-48f5-96ba-bd7a27cbea56"/>
    <ds:schemaRef ds:uri="f8065530-227a-40b8-9199-93b0a0a9a9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8</cp:revision>
  <dcterms:created xsi:type="dcterms:W3CDTF">2025-09-02T01:11:00Z</dcterms:created>
  <dcterms:modified xsi:type="dcterms:W3CDTF">2025-09-10T03:37:00Z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MediaServiceImageTags">
    <vt:lpwstr/>
  </property>
  <property fmtid="{D5CDD505-2E9C-101B-9397-08002B2CF9AE}" pid="6" name="ContentTypeId">
    <vt:lpwstr>0x010100CBC4D8244A58C94DAE7F4C3116ECCA42</vt:lpwstr>
  </property>
</Properties>
</file>